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00" w:beforeAutospacing="1" w:after="100" w:afterAutospacing="1" w:line="273" w:lineRule="atLeast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b/>
          <w:i/>
          <w:szCs w:val="24"/>
        </w:rPr>
        <w:t>Объект: Школа</w:t>
      </w:r>
    </w:p>
    <w:p>
      <w:pPr>
        <w:tabs>
          <w:tab w:val="left" w:pos="1470"/>
          <w:tab w:val="left" w:pos="2415"/>
        </w:tabs>
        <w:spacing w:before="120" w:after="120"/>
        <w:rPr>
          <w:rFonts w:ascii="ISOCPEUR" w:hAnsi="ISOCPEUR" w:cs="Arial"/>
          <w:b/>
          <w:i/>
          <w:szCs w:val="24"/>
        </w:rPr>
      </w:pPr>
      <w:r>
        <w:rPr>
          <w:rFonts w:ascii="ISOCPEUR" w:hAnsi="ISOCPEUR" w:cs="Arial"/>
          <w:b/>
          <w:i/>
          <w:szCs w:val="24"/>
        </w:rPr>
        <w:t xml:space="preserve">Адрес объекта:  </w:t>
      </w:r>
    </w:p>
    <w:p>
      <w:pPr>
        <w:pStyle w:val="3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</w:pPr>
      <w:r>
        <w:rPr>
          <w:rFonts w:ascii="ISOCPEUR" w:hAnsi="ISOCPEUR" w:cs="Arial"/>
          <w:i/>
          <w:caps/>
          <w:szCs w:val="24"/>
        </w:rPr>
        <w:t>Пояснительная записка</w:t>
      </w:r>
    </w:p>
    <w:p>
      <w:pPr>
        <w:pStyle w:val="3"/>
        <w:spacing w:before="3480"/>
        <w:ind w:firstLine="0"/>
        <w:jc w:val="center"/>
        <w:rPr>
          <w:rFonts w:ascii="ISOCPEUR" w:hAnsi="ISOCPEUR" w:cs="Arial"/>
          <w:i/>
          <w:caps/>
          <w:szCs w:val="24"/>
        </w:rPr>
        <w:sectPr>
          <w:headerReference r:id="rId3" w:type="default"/>
          <w:pgSz w:w="11906" w:h="16838"/>
          <w:pgMar w:top="899" w:right="567" w:bottom="567" w:left="1418" w:header="284" w:footer="284" w:gutter="0"/>
          <w:cols w:space="708" w:num="1"/>
          <w:docGrid w:linePitch="360" w:charSpace="0"/>
        </w:sectPr>
      </w:pPr>
    </w:p>
    <w:p>
      <w:pPr>
        <w:pStyle w:val="3"/>
        <w:jc w:val="center"/>
        <w:rPr>
          <w:rFonts w:ascii="ISOCPEUR" w:hAnsi="ISOCPEUR" w:cs="Arial"/>
          <w:i/>
          <w:caps/>
          <w:szCs w:val="24"/>
        </w:rPr>
      </w:pPr>
    </w:p>
    <w:p>
      <w:pPr>
        <w:pStyle w:val="3"/>
        <w:jc w:val="center"/>
        <w:rPr>
          <w:rFonts w:ascii="ISOCPEUR" w:hAnsi="ISOCPEUR" w:cs="Arial"/>
          <w:b/>
          <w:i/>
          <w:caps/>
          <w:szCs w:val="24"/>
        </w:rPr>
      </w:pPr>
      <w:r>
        <w:rPr>
          <w:rFonts w:ascii="ISOCPEUR" w:hAnsi="ISOCPEUR" w:cs="Arial"/>
          <w:b/>
          <w:i/>
          <w:caps/>
          <w:szCs w:val="24"/>
        </w:rPr>
        <w:t>Содержание</w:t>
      </w:r>
    </w:p>
    <w:p>
      <w:pPr>
        <w:pStyle w:val="3"/>
        <w:jc w:val="center"/>
        <w:rPr>
          <w:rFonts w:ascii="ISOCPEUR" w:hAnsi="ISOCPEUR" w:cs="Arial"/>
          <w:b/>
          <w:i/>
          <w:caps/>
          <w:szCs w:val="24"/>
        </w:rPr>
      </w:pP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rPr>
          <w:rFonts w:ascii="ISOCPEUR" w:hAnsi="ISOCPEUR" w:cs="Arial"/>
          <w:caps/>
        </w:rPr>
        <w:fldChar w:fldCharType="begin"/>
      </w:r>
      <w:r>
        <w:rPr>
          <w:rFonts w:ascii="ISOCPEUR" w:hAnsi="ISOCPEUR" w:cs="Arial"/>
          <w:caps/>
        </w:rPr>
        <w:instrText xml:space="preserve"> TOC \o "1-1" \h \z \u </w:instrText>
      </w:r>
      <w:r>
        <w:rPr>
          <w:rFonts w:ascii="ISOCPEUR" w:hAnsi="ISOCPEUR" w:cs="Arial"/>
          <w:caps/>
        </w:rPr>
        <w:fldChar w:fldCharType="separate"/>
      </w:r>
      <w:r>
        <w:fldChar w:fldCharType="begin"/>
      </w:r>
      <w:r>
        <w:instrText xml:space="preserve"> HYPERLINK \l "_Toc22226931" </w:instrText>
      </w:r>
      <w:r>
        <w:fldChar w:fldCharType="separate"/>
      </w:r>
      <w:r>
        <w:rPr>
          <w:rStyle w:val="21"/>
          <w:rFonts w:ascii="ISOCPEUR" w:hAnsi="ISOCPEUR"/>
          <w:i/>
        </w:rPr>
        <w:t>1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ОБЩИЕ ПОЛОЖЕНИЯ</w:t>
      </w:r>
      <w:r>
        <w:tab/>
      </w:r>
      <w:r>
        <w:fldChar w:fldCharType="begin"/>
      </w:r>
      <w:r>
        <w:instrText xml:space="preserve"> PAGEREF _Toc22226931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"_Toc22226932" </w:instrText>
      </w:r>
      <w:r>
        <w:fldChar w:fldCharType="separate"/>
      </w:r>
      <w:r>
        <w:rPr>
          <w:rStyle w:val="21"/>
          <w:rFonts w:ascii="ISOCPEUR" w:hAnsi="ISOCPEUR"/>
          <w:i/>
        </w:rPr>
        <w:t>2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Основные технические решения, принятые в проекте</w:t>
      </w:r>
      <w:r>
        <w:tab/>
      </w:r>
      <w:r>
        <w:fldChar w:fldCharType="begin"/>
      </w:r>
      <w:r>
        <w:instrText xml:space="preserve"> PAGEREF _Toc22226932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"_Toc22226933" </w:instrText>
      </w:r>
      <w:r>
        <w:fldChar w:fldCharType="separate"/>
      </w:r>
      <w:r>
        <w:rPr>
          <w:rStyle w:val="21"/>
          <w:rFonts w:ascii="ISOCPEUR" w:hAnsi="ISOCPEUR"/>
          <w:i/>
        </w:rPr>
        <w:t>3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РАБОТА СОТ</w:t>
      </w:r>
      <w:r>
        <w:tab/>
      </w:r>
      <w:r>
        <w:fldChar w:fldCharType="begin"/>
      </w:r>
      <w:r>
        <w:instrText xml:space="preserve"> PAGEREF _Toc22226933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"_Toc22226934" </w:instrText>
      </w:r>
      <w:r>
        <w:fldChar w:fldCharType="separate"/>
      </w:r>
      <w:r>
        <w:rPr>
          <w:rStyle w:val="21"/>
          <w:rFonts w:ascii="ISOCPEUR" w:hAnsi="ISOCPEUR"/>
          <w:i/>
        </w:rPr>
        <w:t>4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Технические характеристики оборудования.</w:t>
      </w:r>
      <w:r>
        <w:tab/>
      </w:r>
      <w:r>
        <w:fldChar w:fldCharType="begin"/>
      </w:r>
      <w:r>
        <w:instrText xml:space="preserve"> PAGEREF _Toc22226934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"_Toc22226935" </w:instrText>
      </w:r>
      <w:r>
        <w:fldChar w:fldCharType="separate"/>
      </w:r>
      <w:r>
        <w:rPr>
          <w:rStyle w:val="21"/>
          <w:rFonts w:ascii="ISOCPEUR" w:hAnsi="ISOCPEUR"/>
          <w:i/>
        </w:rPr>
        <w:t>5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Указания по настройке синхронизации времени.</w:t>
      </w:r>
      <w:r>
        <w:tab/>
      </w:r>
      <w:r>
        <w:fldChar w:fldCharType="begin"/>
      </w:r>
      <w:r>
        <w:instrText xml:space="preserve"> PAGEREF _Toc22226935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"_Toc22226936" </w:instrText>
      </w:r>
      <w:r>
        <w:fldChar w:fldCharType="separate"/>
      </w:r>
      <w:r>
        <w:rPr>
          <w:rStyle w:val="21"/>
          <w:rFonts w:ascii="ISOCPEUR" w:hAnsi="ISOCPEUR"/>
          <w:i/>
        </w:rPr>
        <w:t>6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Указания по настройке камер.</w:t>
      </w:r>
      <w:r>
        <w:tab/>
      </w:r>
      <w:r>
        <w:fldChar w:fldCharType="begin"/>
      </w:r>
      <w:r>
        <w:instrText xml:space="preserve"> PAGEREF _Toc22226936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"_Toc22226937" </w:instrText>
      </w:r>
      <w:r>
        <w:fldChar w:fldCharType="separate"/>
      </w:r>
      <w:r>
        <w:rPr>
          <w:rStyle w:val="21"/>
          <w:rFonts w:ascii="ISOCPEUR" w:hAnsi="ISOCPEUR"/>
          <w:i/>
        </w:rPr>
        <w:t>7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Указания к подключению к ЕЦХД.</w:t>
      </w:r>
      <w:r>
        <w:tab/>
      </w:r>
      <w:r>
        <w:fldChar w:fldCharType="begin"/>
      </w:r>
      <w:r>
        <w:instrText xml:space="preserve"> PAGEREF _Toc22226937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"_Toc22226938" </w:instrText>
      </w:r>
      <w:r>
        <w:fldChar w:fldCharType="separate"/>
      </w:r>
      <w:r>
        <w:rPr>
          <w:rStyle w:val="21"/>
          <w:rFonts w:ascii="ISOCPEUR" w:hAnsi="ISOCPEUR"/>
          <w:i/>
        </w:rPr>
        <w:t>8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Указания по монтажу кабелей и коммутационного оборудования.</w:t>
      </w:r>
      <w:r>
        <w:tab/>
      </w:r>
      <w:r>
        <w:fldChar w:fldCharType="begin"/>
      </w:r>
      <w:r>
        <w:instrText xml:space="preserve"> PAGEREF _Toc22226938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"_Toc22226939" </w:instrText>
      </w:r>
      <w:r>
        <w:fldChar w:fldCharType="separate"/>
      </w:r>
      <w:r>
        <w:rPr>
          <w:rStyle w:val="21"/>
          <w:rFonts w:ascii="ISOCPEUR" w:hAnsi="ISOCPEUR"/>
          <w:i/>
        </w:rPr>
        <w:t>9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Электропитание и заземление.</w:t>
      </w:r>
      <w:r>
        <w:tab/>
      </w:r>
      <w:r>
        <w:fldChar w:fldCharType="begin"/>
      </w:r>
      <w:r>
        <w:instrText xml:space="preserve"> PAGEREF _Toc22226939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"_Toc22226940" </w:instrText>
      </w:r>
      <w:r>
        <w:fldChar w:fldCharType="separate"/>
      </w:r>
      <w:r>
        <w:rPr>
          <w:rStyle w:val="21"/>
          <w:rFonts w:ascii="ISOCPEUR" w:hAnsi="ISOCPEUR"/>
          <w:i/>
        </w:rPr>
        <w:t>10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Требования безопасности труда.</w:t>
      </w:r>
      <w:r>
        <w:tab/>
      </w:r>
      <w:r>
        <w:fldChar w:fldCharType="begin"/>
      </w:r>
      <w:r>
        <w:instrText xml:space="preserve"> PAGEREF _Toc22226940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"_Toc22226941" </w:instrText>
      </w:r>
      <w:r>
        <w:fldChar w:fldCharType="separate"/>
      </w:r>
      <w:r>
        <w:rPr>
          <w:rStyle w:val="21"/>
          <w:rFonts w:ascii="ISOCPEUR" w:hAnsi="ISOCPEUR"/>
          <w:i/>
        </w:rPr>
        <w:t>11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Противопожарные мероприятия.</w:t>
      </w:r>
      <w:r>
        <w:tab/>
      </w:r>
      <w:r>
        <w:fldChar w:fldCharType="begin"/>
      </w:r>
      <w:r>
        <w:instrText xml:space="preserve"> PAGEREF _Toc22226941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17"/>
        <w:rPr>
          <w:rFonts w:asciiTheme="minorHAnsi" w:hAnsiTheme="minorHAnsi" w:eastAsiaTheme="minorEastAsia" w:cstheme="minorBidi"/>
          <w:sz w:val="22"/>
          <w:szCs w:val="22"/>
        </w:rPr>
      </w:pPr>
      <w:r>
        <w:fldChar w:fldCharType="begin"/>
      </w:r>
      <w:r>
        <w:instrText xml:space="preserve"> HYPERLINK \l "_Toc22226942" </w:instrText>
      </w:r>
      <w:r>
        <w:fldChar w:fldCharType="separate"/>
      </w:r>
      <w:r>
        <w:rPr>
          <w:rStyle w:val="21"/>
          <w:rFonts w:ascii="ISOCPEUR" w:hAnsi="ISOCPEUR"/>
          <w:i/>
        </w:rPr>
        <w:t>12</w:t>
      </w:r>
      <w:r>
        <w:rPr>
          <w:rFonts w:asciiTheme="minorHAnsi" w:hAnsiTheme="minorHAnsi" w:eastAsiaTheme="minorEastAsia" w:cstheme="minorBidi"/>
          <w:sz w:val="22"/>
          <w:szCs w:val="22"/>
        </w:rPr>
        <w:tab/>
      </w:r>
      <w:r>
        <w:rPr>
          <w:rStyle w:val="21"/>
          <w:rFonts w:ascii="ISOCPEUR" w:hAnsi="ISOCPEUR" w:cs="Arial"/>
          <w:i/>
        </w:rPr>
        <w:t>Мероприятия по охране окружающей среды.</w:t>
      </w:r>
      <w:r>
        <w:tab/>
      </w:r>
      <w:r>
        <w:fldChar w:fldCharType="begin"/>
      </w:r>
      <w:r>
        <w:instrText xml:space="preserve"> PAGEREF _Toc22226942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caps/>
          <w:szCs w:val="24"/>
        </w:rPr>
        <w:fldChar w:fldCharType="end"/>
      </w:r>
    </w:p>
    <w:p>
      <w:pPr>
        <w:pStyle w:val="3"/>
        <w:rPr>
          <w:rFonts w:ascii="ISOCPEUR" w:hAnsi="ISOCPEUR" w:cs="Arial"/>
          <w:i/>
          <w:szCs w:val="24"/>
        </w:rPr>
      </w:pPr>
    </w:p>
    <w:p>
      <w:pPr>
        <w:rPr>
          <w:rFonts w:ascii="ISOCPEUR" w:hAnsi="ISOCPEUR"/>
          <w:i/>
          <w:szCs w:val="24"/>
        </w:rPr>
      </w:pPr>
    </w:p>
    <w:p>
      <w:pPr>
        <w:rPr>
          <w:rFonts w:ascii="ISOCPEUR" w:hAnsi="ISOCPEUR"/>
          <w:i/>
          <w:szCs w:val="24"/>
        </w:rPr>
      </w:pPr>
    </w:p>
    <w:p>
      <w:pPr>
        <w:rPr>
          <w:rFonts w:ascii="ISOCPEUR" w:hAnsi="ISOCPEUR"/>
          <w:i/>
          <w:szCs w:val="24"/>
        </w:rPr>
      </w:pPr>
    </w:p>
    <w:p>
      <w:pPr>
        <w:rPr>
          <w:rFonts w:ascii="ISOCPEUR" w:hAnsi="ISOCPEUR"/>
          <w:i/>
          <w:szCs w:val="24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rPr>
          <w:rFonts w:ascii="ISOCPEUR" w:hAnsi="ISOCPEUR"/>
        </w:rPr>
      </w:pPr>
    </w:p>
    <w:p>
      <w:pPr>
        <w:pStyle w:val="2"/>
        <w:rPr>
          <w:rFonts w:ascii="ISOCPEUR" w:hAnsi="ISOCPEUR" w:cs="Arial"/>
          <w:i/>
          <w:sz w:val="24"/>
          <w:szCs w:val="24"/>
        </w:rPr>
      </w:pPr>
      <w:bookmarkStart w:id="0" w:name="_Toc22226931"/>
      <w:r>
        <w:rPr>
          <w:rFonts w:ascii="ISOCPEUR" w:hAnsi="ISOCPEUR" w:cs="Arial"/>
          <w:i/>
          <w:sz w:val="24"/>
          <w:szCs w:val="24"/>
        </w:rPr>
        <w:t>ОБЩИЕ ПОЛОЖЕНИЯ</w:t>
      </w:r>
      <w:bookmarkEnd w:id="0"/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Настоящая проектная документация Системы охранной телевизионной (далее СОТ) разработана для объекта «Школа» на базе: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Исходных данных Заказчика;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Положения о системе видеонаблюдения в «Школе»;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Результатов обследования объекта;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Материалов изысканий и согласований, проведенных в рабочем порядке;</w:t>
      </w:r>
    </w:p>
    <w:p>
      <w:pPr>
        <w:pStyle w:val="3"/>
        <w:numPr>
          <w:ilvl w:val="0"/>
          <w:numId w:val="2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Технической документации производителей оборудования;</w:t>
      </w:r>
    </w:p>
    <w:p>
      <w:pPr>
        <w:pStyle w:val="3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Проектом учтены требования по функциональным связям, антивандальному исполнению, указанных в Положении о системе видеонаблюдения постановлений Правительства Москвы и федеральных законов, удобству эксплуатации оборудования и проведения профилактических ремонтов, соблюдение требований техники безопасности, пожарной безопасности.</w:t>
      </w:r>
    </w:p>
    <w:p>
      <w:pPr>
        <w:pStyle w:val="2"/>
        <w:rPr>
          <w:rFonts w:ascii="ISOCPEUR" w:hAnsi="ISOCPEUR" w:cs="Arial"/>
          <w:i/>
          <w:sz w:val="24"/>
          <w:szCs w:val="24"/>
        </w:rPr>
      </w:pPr>
      <w:bookmarkStart w:id="1" w:name="_Toc22226932"/>
      <w:r>
        <w:rPr>
          <w:rFonts w:ascii="ISOCPEUR" w:hAnsi="ISOCPEUR" w:cs="Arial"/>
          <w:i/>
          <w:sz w:val="24"/>
          <w:szCs w:val="24"/>
        </w:rPr>
        <w:t>Основные технические решения, принятые в проекте</w:t>
      </w:r>
      <w:bookmarkEnd w:id="1"/>
    </w:p>
    <w:p>
      <w:pPr>
        <w:pStyle w:val="4"/>
        <w:tabs>
          <w:tab w:val="left" w:pos="1134"/>
          <w:tab w:val="clear" w:pos="1260"/>
        </w:tabs>
        <w:ind w:firstLine="133"/>
        <w:rPr>
          <w:rFonts w:ascii="ISOCPEUR" w:hAnsi="ISOCPEUR"/>
        </w:rPr>
      </w:pPr>
      <w:r>
        <w:rPr>
          <w:rFonts w:ascii="ISOCPEUR" w:hAnsi="ISOCPEUR"/>
        </w:rPr>
        <w:t>Назначение СОТ.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 w:cs="Arial"/>
          <w:i/>
          <w:szCs w:val="24"/>
        </w:rPr>
        <w:t>СОТ предназначена для круглосуточной, непрерывной работы и обеспечения контроля мест повышенного возникновения опасной ситуации Школы, мест возможного несанкционированного проникновения посторонних лиц в помещение Школы, зон въезда автотранспорта на территорию Школы и зоны входа людей в помещение Школы</w:t>
      </w:r>
      <w:r>
        <w:rPr>
          <w:rFonts w:ascii="ISOCPEUR" w:hAnsi="ISOCPEUR"/>
        </w:rPr>
        <w:t>.</w:t>
      </w:r>
    </w:p>
    <w:p>
      <w:pPr>
        <w:pStyle w:val="4"/>
        <w:tabs>
          <w:tab w:val="left" w:pos="1134"/>
          <w:tab w:val="clear" w:pos="1260"/>
        </w:tabs>
        <w:ind w:firstLine="133"/>
        <w:rPr>
          <w:rFonts w:ascii="ISOCPEUR" w:hAnsi="ISOCPEUR"/>
        </w:rPr>
      </w:pPr>
      <w:r>
        <w:rPr>
          <w:rFonts w:ascii="ISOCPEUR" w:hAnsi="ISOCPEUR"/>
        </w:rPr>
        <w:t>Оборудование</w:t>
      </w:r>
      <w:r>
        <w:rPr>
          <w:rFonts w:ascii="ISOCPEUR" w:hAnsi="ISOCPEUR" w:cs="Arial"/>
          <w:szCs w:val="24"/>
        </w:rPr>
        <w:t xml:space="preserve"> СОТ разделяется на станционное и периферийное</w:t>
      </w:r>
      <w:r>
        <w:rPr>
          <w:rFonts w:ascii="ISOCPEUR" w:hAnsi="ISOCPEUR"/>
        </w:rPr>
        <w:t>.</w:t>
      </w:r>
    </w:p>
    <w:p>
      <w:pPr>
        <w:pStyle w:val="5"/>
        <w:tabs>
          <w:tab w:val="left" w:pos="1418"/>
          <w:tab w:val="clear" w:pos="720"/>
        </w:tabs>
        <w:ind w:hanging="11"/>
        <w:rPr>
          <w:rFonts w:ascii="ISOCPEUR" w:hAnsi="ISOCPEUR"/>
        </w:rPr>
      </w:pPr>
      <w:r>
        <w:rPr>
          <w:rFonts w:ascii="ISOCPEUR" w:hAnsi="ISOCPEUR" w:cs="Arial"/>
          <w:i/>
          <w:szCs w:val="24"/>
        </w:rPr>
        <w:t>К станционному оборудованию относится:</w:t>
      </w:r>
      <w:r>
        <w:rPr>
          <w:rFonts w:ascii="ISOCPEUR" w:hAnsi="ISOCPEUR"/>
        </w:rPr>
        <w:t xml:space="preserve"> </w:t>
      </w:r>
    </w:p>
    <w:p>
      <w:pPr>
        <w:pStyle w:val="5"/>
        <w:numPr>
          <w:ilvl w:val="0"/>
          <w:numId w:val="0"/>
        </w:numPr>
        <w:spacing w:after="0" w:line="360" w:lineRule="auto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  <w:lang w:val="en-US"/>
        </w:rPr>
        <w:t>MES</w:t>
      </w:r>
      <w:r>
        <w:rPr>
          <w:rFonts w:ascii="ISOCPEUR" w:hAnsi="ISOCPEUR" w:cs="Arial"/>
          <w:i/>
          <w:szCs w:val="24"/>
        </w:rPr>
        <w:t>2348</w:t>
      </w:r>
      <w:r>
        <w:rPr>
          <w:rFonts w:ascii="ISOCPEUR" w:hAnsi="ISOCPEUR" w:cs="Arial"/>
          <w:i/>
          <w:szCs w:val="24"/>
          <w:lang w:val="en-US"/>
        </w:rPr>
        <w:t>P</w:t>
      </w:r>
      <w:r>
        <w:rPr>
          <w:rFonts w:ascii="ISOCPEUR" w:hAnsi="ISOCPEUR"/>
        </w:rPr>
        <w:t xml:space="preserve">, </w:t>
      </w:r>
      <w:r>
        <w:rPr>
          <w:rFonts w:hint="default" w:ascii="ISOCPEUR" w:hAnsi="ISOCPEUR"/>
          <w:i/>
          <w:szCs w:val="24"/>
          <w:lang w:val="en-US"/>
        </w:rPr>
        <w:t>DGS-3130-30TS</w:t>
      </w:r>
      <w:r>
        <w:rPr>
          <w:rFonts w:ascii="ISOCPEUR" w:hAnsi="ISOCPEUR"/>
        </w:rPr>
        <w:t xml:space="preserve">, </w:t>
      </w:r>
      <w:r>
        <w:rPr>
          <w:rFonts w:ascii="ISOCPEUR" w:hAnsi="ISOCPEUR" w:cs="Arial"/>
          <w:i/>
          <w:szCs w:val="24"/>
        </w:rPr>
        <w:t xml:space="preserve">Видеосервер </w:t>
      </w:r>
      <w:r>
        <w:rPr>
          <w:rFonts w:ascii="ISOCPEUR" w:hAnsi="ISOCPEUR" w:cs="Arial"/>
          <w:i/>
          <w:szCs w:val="24"/>
          <w:lang w:val="en-US"/>
        </w:rPr>
        <w:t>VIDEOMAX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IP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Int</w:t>
      </w:r>
      <w:r>
        <w:rPr>
          <w:rFonts w:ascii="ISOCPEUR" w:hAnsi="ISOCPEUR" w:cs="Arial"/>
          <w:i/>
          <w:szCs w:val="24"/>
        </w:rPr>
        <w:t>(</w:t>
      </w:r>
      <w:r>
        <w:rPr>
          <w:rFonts w:ascii="ISOCPEUR" w:hAnsi="ISOCPEUR" w:cs="Arial"/>
          <w:i/>
          <w:szCs w:val="24"/>
          <w:lang w:val="en-US"/>
        </w:rPr>
        <w:t>CityYY</w:t>
      </w:r>
      <w:r>
        <w:rPr>
          <w:rFonts w:ascii="ISOCPEUR" w:hAnsi="ISOCPEUR" w:cs="Arial"/>
          <w:i/>
          <w:szCs w:val="24"/>
        </w:rPr>
        <w:t>4)-</w:t>
      </w:r>
      <w:r>
        <w:rPr>
          <w:rFonts w:ascii="ISOCPEUR" w:hAnsi="ISOCPEUR" w:cs="Arial"/>
          <w:i/>
          <w:szCs w:val="24"/>
          <w:lang w:val="en-US"/>
        </w:rPr>
        <w:t>b</w:t>
      </w:r>
      <w:r>
        <w:rPr>
          <w:rFonts w:ascii="ISOCPEUR" w:hAnsi="ISOCPEUR" w:cs="Arial"/>
          <w:i/>
          <w:szCs w:val="24"/>
        </w:rPr>
        <w:t>-37-80000-19"-</w:t>
      </w:r>
      <w:r>
        <w:rPr>
          <w:rFonts w:ascii="ISOCPEUR" w:hAnsi="ISOCPEUR" w:cs="Arial"/>
          <w:i/>
          <w:szCs w:val="24"/>
          <w:lang w:val="en-US"/>
        </w:rPr>
        <w:t>PRO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ID</w:t>
      </w:r>
      <w:r>
        <w:rPr>
          <w:rFonts w:ascii="ISOCPEUR" w:hAnsi="ISOCPEUR" w:cs="Arial"/>
          <w:i/>
          <w:szCs w:val="24"/>
        </w:rPr>
        <w:t>3, УРММ СБ ПЭВМ VIDEOMAX-</w:t>
      </w:r>
      <w:r>
        <w:rPr>
          <w:rFonts w:ascii="ISOCPEUR" w:hAnsi="ISOCPEUR" w:cs="Arial"/>
          <w:i/>
          <w:szCs w:val="24"/>
          <w:lang w:val="en-US"/>
        </w:rPr>
        <w:t>URM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Int</w:t>
      </w:r>
      <w:r>
        <w:rPr>
          <w:rFonts w:ascii="ISOCPEUR" w:hAnsi="ISOCPEUR" w:cs="Arial"/>
          <w:i/>
          <w:szCs w:val="24"/>
        </w:rPr>
        <w:t>(</w:t>
      </w:r>
      <w:r>
        <w:rPr>
          <w:rFonts w:ascii="ISOCPEUR" w:hAnsi="ISOCPEUR" w:cs="Arial"/>
          <w:i/>
          <w:szCs w:val="24"/>
          <w:lang w:val="en-US"/>
        </w:rPr>
        <w:t>U</w:t>
      </w:r>
      <w:r>
        <w:rPr>
          <w:rFonts w:ascii="ISOCPEUR" w:hAnsi="ISOCPEUR" w:cs="Arial"/>
          <w:i/>
          <w:szCs w:val="24"/>
        </w:rPr>
        <w:t>1)-2</w:t>
      </w:r>
      <w:r>
        <w:rPr>
          <w:rFonts w:ascii="ISOCPEUR" w:hAnsi="ISOCPEUR" w:cs="Arial"/>
          <w:i/>
          <w:szCs w:val="24"/>
          <w:lang w:val="en-US"/>
        </w:rPr>
        <w:t>M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ID</w:t>
      </w:r>
      <w:r>
        <w:rPr>
          <w:rFonts w:ascii="ISOCPEUR" w:hAnsi="ISOCPEUR" w:cs="Arial"/>
          <w:i/>
          <w:szCs w:val="24"/>
        </w:rPr>
        <w:t xml:space="preserve">2, </w:t>
      </w:r>
      <w:r>
        <w:rPr>
          <w:rFonts w:ascii="ISOCPEUR" w:hAnsi="ISOCPEUR" w:cs="Arial"/>
          <w:i/>
          <w:szCs w:val="24"/>
          <w:lang w:val="en-US"/>
        </w:rPr>
        <w:t>SKAT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UPS</w:t>
      </w:r>
      <w:r>
        <w:rPr>
          <w:rFonts w:ascii="ISOCPEUR" w:hAnsi="ISOCPEUR" w:cs="Arial"/>
          <w:i/>
          <w:szCs w:val="24"/>
        </w:rPr>
        <w:t xml:space="preserve"> 3000 </w:t>
      </w:r>
      <w:r>
        <w:rPr>
          <w:rFonts w:ascii="ISOCPEUR" w:hAnsi="ISOCPEUR" w:cs="Arial"/>
          <w:i/>
          <w:szCs w:val="24"/>
          <w:lang w:val="en-US"/>
        </w:rPr>
        <w:t>RACK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SKAT</w:t>
      </w:r>
      <w:r>
        <w:rPr>
          <w:rFonts w:ascii="ISOCPEUR" w:hAnsi="ISOCPEUR" w:cs="Arial"/>
          <w:i/>
          <w:szCs w:val="24"/>
        </w:rPr>
        <w:t>-</w:t>
      </w:r>
      <w:r>
        <w:rPr>
          <w:rFonts w:ascii="ISOCPEUR" w:hAnsi="ISOCPEUR" w:cs="Arial"/>
          <w:i/>
          <w:szCs w:val="24"/>
          <w:lang w:val="en-US"/>
        </w:rPr>
        <w:t>UPS</w:t>
      </w:r>
      <w:r>
        <w:rPr>
          <w:rFonts w:ascii="ISOCPEUR" w:hAnsi="ISOCPEUR" w:cs="Arial"/>
          <w:i/>
          <w:szCs w:val="24"/>
        </w:rPr>
        <w:t xml:space="preserve"> 800 </w:t>
      </w:r>
      <w:r>
        <w:rPr>
          <w:rFonts w:ascii="ISOCPEUR" w:hAnsi="ISOCPEUR" w:cs="Arial"/>
          <w:i/>
          <w:szCs w:val="24"/>
          <w:lang w:val="en-US"/>
        </w:rPr>
        <w:t>AI</w:t>
      </w:r>
      <w:r>
        <w:rPr>
          <w:rFonts w:ascii="ISOCPEUR" w:hAnsi="ISOCPEUR" w:cs="Arial"/>
          <w:i/>
          <w:szCs w:val="24"/>
        </w:rPr>
        <w:t>, Метроном-200.</w:t>
      </w:r>
    </w:p>
    <w:p>
      <w:pPr>
        <w:pStyle w:val="5"/>
        <w:tabs>
          <w:tab w:val="left" w:pos="1418"/>
          <w:tab w:val="clear" w:pos="720"/>
        </w:tabs>
        <w:ind w:hanging="11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К периферийному оборудованию относится:</w:t>
      </w:r>
    </w:p>
    <w:p>
      <w:pPr>
        <w:autoSpaceDE w:val="0"/>
        <w:autoSpaceDN w:val="0"/>
        <w:adjustRightInd w:val="0"/>
        <w:spacing w:line="360" w:lineRule="auto"/>
        <w:rPr>
          <w:rStyle w:val="38"/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4640</w:t>
      </w:r>
      <w:r>
        <w:rPr>
          <w:rFonts w:ascii="ISOCPEUR" w:hAnsi="ISOCPEUR" w:cs="Arial"/>
          <w:i/>
          <w:szCs w:val="24"/>
          <w:lang w:val="en-US"/>
        </w:rPr>
        <w:t>DS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4640</w:t>
      </w:r>
      <w:r>
        <w:rPr>
          <w:rFonts w:ascii="ISOCPEUR" w:hAnsi="ISOCPEUR" w:cs="Arial"/>
          <w:i/>
          <w:szCs w:val="24"/>
          <w:lang w:val="en-US"/>
        </w:rPr>
        <w:t>DR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4680</w:t>
      </w:r>
      <w:r>
        <w:rPr>
          <w:rFonts w:ascii="ISOCPEUR" w:hAnsi="ISOCPEUR" w:cs="Arial"/>
          <w:i/>
          <w:szCs w:val="24"/>
          <w:lang w:val="en-US"/>
        </w:rPr>
        <w:t>DRV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4685</w:t>
      </w:r>
      <w:r>
        <w:rPr>
          <w:rFonts w:ascii="ISOCPEUR" w:hAnsi="ISOCPEUR" w:cs="Arial"/>
          <w:i/>
          <w:szCs w:val="24"/>
          <w:lang w:val="en-US"/>
        </w:rPr>
        <w:t>DV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4685</w:t>
      </w:r>
      <w:r>
        <w:rPr>
          <w:rFonts w:ascii="ISOCPEUR" w:hAnsi="ISOCPEUR" w:cs="Arial"/>
          <w:i/>
          <w:szCs w:val="24"/>
          <w:lang w:val="en-US"/>
        </w:rPr>
        <w:t>DV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BD</w:t>
      </w:r>
      <w:r>
        <w:rPr>
          <w:rFonts w:ascii="ISOCPEUR" w:hAnsi="ISOCPEUR" w:cs="Arial"/>
          <w:i/>
          <w:szCs w:val="24"/>
        </w:rPr>
        <w:t>3730</w:t>
      </w:r>
      <w:r>
        <w:rPr>
          <w:rFonts w:ascii="ISOCPEUR" w:hAnsi="ISOCPEUR" w:cs="Arial"/>
          <w:i/>
          <w:szCs w:val="24"/>
          <w:lang w:val="en-US"/>
        </w:rPr>
        <w:t>M</w:t>
      </w:r>
      <w:r>
        <w:rPr>
          <w:rFonts w:ascii="ISOCPEUR" w:hAnsi="ISOCPEUR" w:cs="Arial"/>
          <w:i/>
          <w:szCs w:val="24"/>
        </w:rPr>
        <w:t xml:space="preserve">, </w:t>
      </w:r>
      <w:r>
        <w:rPr>
          <w:rFonts w:ascii="ISOCPEUR" w:hAnsi="ISOCPEUR" w:cs="Arial"/>
          <w:i/>
          <w:szCs w:val="24"/>
          <w:lang w:val="en-US"/>
        </w:rPr>
        <w:t>NRP</w:t>
      </w:r>
      <w:r>
        <w:rPr>
          <w:rFonts w:ascii="ISOCPEUR" w:hAnsi="ISOCPEUR" w:cs="Arial"/>
          <w:i/>
          <w:szCs w:val="24"/>
        </w:rPr>
        <w:t>-112</w:t>
      </w:r>
      <w:r>
        <w:rPr>
          <w:rFonts w:ascii="ISOCPEUR" w:hAnsi="ISOCPEUR" w:cs="Arial"/>
          <w:i/>
          <w:szCs w:val="24"/>
          <w:lang w:val="en-US"/>
        </w:rPr>
        <w:t>PR</w:t>
      </w:r>
      <w:r>
        <w:rPr>
          <w:rFonts w:ascii="ISOCPEUR" w:hAnsi="ISOCPEUR" w:cs="Arial"/>
          <w:i/>
          <w:szCs w:val="24"/>
        </w:rPr>
        <w:t>.</w:t>
      </w:r>
    </w:p>
    <w:p>
      <w:pPr>
        <w:pStyle w:val="4"/>
        <w:tabs>
          <w:tab w:val="left" w:pos="1134"/>
          <w:tab w:val="clear" w:pos="1260"/>
        </w:tabs>
        <w:ind w:firstLine="133"/>
        <w:rPr>
          <w:rFonts w:ascii="ISOCPEUR" w:hAnsi="ISOCPEUR"/>
        </w:rPr>
      </w:pPr>
      <w:r>
        <w:rPr>
          <w:rFonts w:ascii="ISOCPEUR" w:hAnsi="ISOCPEUR"/>
        </w:rPr>
        <w:t xml:space="preserve">СОТ построена на базе </w:t>
      </w:r>
      <w:r>
        <w:rPr>
          <w:rFonts w:ascii="ISOCPEUR" w:hAnsi="ISOCPEUR"/>
          <w:lang w:val="en-US"/>
        </w:rPr>
        <w:t>IP</w:t>
      </w:r>
      <w:r>
        <w:rPr>
          <w:rFonts w:ascii="ISOCPEUR" w:hAnsi="ISOCPEUR"/>
        </w:rPr>
        <w:t>-видеокамер уличного и внутреннего исполнений.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BD3730M с опцией «BDXXXXP-K уличное исполнение в термокожухе -30…+40°С» с объективами B1240AIR2, устанавливаемые на кронштейнах MBF250B. Камеры предназначены для наблюдения за автомобильными въездами на территорию. Плотность пикселов получаемого изображения достаточна для задачи визуального распознавания номера;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BD4640RC для наружного наблюдения за областью перед входом в здание школы;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BD4640RCV2 для наружного наблюдения за входящими в здание школы людьми;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BD4685DV для наблюдения в помещении спортивного зала. Камеры имеют вандалоустойчивое исполнение на случай попадания в камеры спортивных снарядов;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BD4640DS для наблюдения в помещениях общего пользования внутри здания. Камеры поставляются с фиксированными объективами разных углов обзора;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BD4640DR для наблюдения в помещениях общего пользования внутри здания. Камеры поставляются с фиксированными объективами разных углов зрения. Камеры поддерживают коридорный формат 9:16, позволяющий увеличить вертикальный угол зрения при сохранении минимальной требуемой плотности пикселов;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Beward BD4680DRV для наблюдения в помещениях общего пользования внутри здания. Камеры поставляются с вариофокальными объективами, позволяющими точно установить требуемый угол зрения, недостижимый при использовании доступных объективов с фиксированными углами зрения. Камеры поддерживают коридорный формат 9:16, позволяющий увеличить вертикальный угол обзора при сохранении минимальной требуемой плотности пикселов;</w:t>
      </w:r>
    </w:p>
    <w:p>
      <w:pPr>
        <w:pStyle w:val="5"/>
        <w:tabs>
          <w:tab w:val="left" w:pos="0"/>
          <w:tab w:val="clear" w:pos="720"/>
        </w:tabs>
        <w:spacing w:after="0" w:line="360" w:lineRule="auto"/>
        <w:ind w:left="0" w:firstLine="709"/>
        <w:rPr>
          <w:rFonts w:ascii="ISOCPEUR" w:hAnsi="ISOCPEUR"/>
          <w:i/>
        </w:rPr>
      </w:pPr>
      <w:r>
        <w:rPr>
          <w:rFonts w:ascii="ISOCPEUR" w:hAnsi="ISOCPEUR"/>
          <w:i/>
        </w:rPr>
        <w:t>Beward BD46C для наблюдения за оборудования, находящимся в телекоммуникационном шкафу в подсобном помещении. Камера поставляется с фиксированным объективом. Камера поддерживают коридорный формат 9:16, позволяющий увеличить вертикальный угол обзора при сохранении минимальной требуемой плотности пикселов.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 w:cs="Arial"/>
          <w:szCs w:val="24"/>
        </w:rPr>
        <w:t>Камеры</w:t>
      </w:r>
      <w:r>
        <w:rPr>
          <w:rFonts w:ascii="ISOCPEUR" w:hAnsi="ISOCPEUR"/>
        </w:rPr>
        <w:t>, места их установки, объективы и направления их обзора подобраны с целью обеспечить максимально возможный обзор мест нахождения людей и автомобилей с плотностью пикселов, не менее:</w:t>
      </w:r>
    </w:p>
    <w:p>
      <w:pPr>
        <w:pStyle w:val="3"/>
        <w:numPr>
          <w:ilvl w:val="0"/>
          <w:numId w:val="3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500</w:t>
      </w:r>
      <w:r>
        <w:rPr>
          <w:rFonts w:ascii="ISOCPEUR" w:hAnsi="ISOCPEUR"/>
        </w:rPr>
        <w:t xml:space="preserve"> </w:t>
      </w:r>
      <w:r>
        <w:rPr>
          <w:rFonts w:ascii="ISOCPEUR" w:hAnsi="ISOCPEUR" w:cs="Arial"/>
          <w:i/>
          <w:szCs w:val="24"/>
        </w:rPr>
        <w:t>пикселов на метр в области входа в помещение школы для цели визуальной идентификации личности входящих людей;</w:t>
      </w:r>
    </w:p>
    <w:p>
      <w:pPr>
        <w:pStyle w:val="3"/>
        <w:numPr>
          <w:ilvl w:val="0"/>
          <w:numId w:val="3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250 пикселов на метр в области въезда на территорию школы для цели визуальной идентификации госномера въезжающих автомобилей;</w:t>
      </w:r>
    </w:p>
    <w:p>
      <w:pPr>
        <w:pStyle w:val="3"/>
        <w:numPr>
          <w:ilvl w:val="0"/>
          <w:numId w:val="3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100 пикселов на метр в остальных наблюдаемых областях для цели визуального опознания находящихся в помещении школы людей.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Камеры BD4640DS и BD4640DR используются с объективами с разными углами зрения, в зависимости от места установки, наблюдаемой зоны и требуемой плотности пикселов.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Для подключения видеокамер, удаленных от коммутатора по кабелю на расстояние свыше 100 метров, используются PoE-экспандеры NRP-112PR, устанавливаемые посередине линии связи. Для подключения кабеля к экспандеру используются разъемы полевой заделки PLUF-8P8C-S-C6-SH.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Для приема/передачи видеоданных от видеокамер и для питания камер применяется коммутатор MES2348P с функцией PoE, монтируемый в телекоммуникационном шкафу, установленном в подсобном помещении.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Изображение от наружных видеокамер, наблюдающих за входом в здание и въездами на территорию, передается в ЕЦХД. Используется 2 тип подключения.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Синхронизация времени системы видеонаблюдения с внешними источниками точного времени осуществляется с помощью специализированного устройства – сервера точного времени Метроном-200. Сервер точного времени имеет внутренние часы, автоматически корректирует собственное время по сигналам спутников GPS и предоставляет оборудование системы по протоколу NTP.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" w:name="_Toc22226933"/>
      <w:r>
        <w:rPr>
          <w:rFonts w:ascii="ISOCPEUR" w:hAnsi="ISOCPEUR" w:cs="Arial"/>
          <w:i/>
          <w:sz w:val="24"/>
          <w:szCs w:val="24"/>
        </w:rPr>
        <w:t>РАБОТА СОТ</w:t>
      </w:r>
      <w:bookmarkEnd w:id="2"/>
    </w:p>
    <w:p>
      <w:pPr>
        <w:pStyle w:val="4"/>
        <w:tabs>
          <w:tab w:val="left" w:pos="1134"/>
          <w:tab w:val="clear" w:pos="1260"/>
        </w:tabs>
        <w:ind w:firstLine="133"/>
        <w:rPr>
          <w:rFonts w:ascii="ISOCPEUR" w:hAnsi="ISOCPEUR"/>
        </w:rPr>
      </w:pPr>
      <w:r>
        <w:rPr>
          <w:rFonts w:ascii="ISOCPEUR" w:hAnsi="ISOCPEUR"/>
        </w:rPr>
        <w:t>Система охранная телевизионная обеспечивает: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непрерывную видеорегистрацию и запись видеоинформации в цифровом виде; 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видеонаблюдение пользователем системы с УРММ посредством просмотра видеоинформации с одной или нескольких видеокамер как в полноэкранном, так и в полиэкранном режимах отображения, с обеспечением возможности масштабирования видеоизображения;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доступ к видеоархиву, поиск и воспроизведение архивированной видеоинформации на рабочем месте пользователя;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возможность блокировки выбранных видеозаписей от автоматической перезаписи при заполнении жестких дисков;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запись видеоинформации и отдельных кадров (стоп-кадров) на внешние носители;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печать отдельных кадров (стоп-кадров) на устройстве вывода на печать;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диагностирование работоспособности видеосервера с отображением соответствующей информации на УРММ, 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автоматическое информирование пользователей видеонаблюдения о выходе из строя компонентов видеосервера;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разграничение доступа пользователей системы видеонаблюдения к видеоинформации;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гибкое управление учетными записями пользователей;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возможность поиска архивированной видеоинформации по дате и времени, номеру видеокамеры, 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возможность подключения к ЕЦХД любых четырех видеокамер системы;</w:t>
      </w:r>
    </w:p>
    <w:p>
      <w:pPr>
        <w:pStyle w:val="3"/>
        <w:numPr>
          <w:ilvl w:val="0"/>
          <w:numId w:val="5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автоматическую синхронизацию внутренних часов системы с внешними источниками точного времени.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Объем дискового пространства обеспечивает хранение видеоинформации в течение не менее 30 суток постоянной записи со всех камер. По заполнении внутреннего накопителя текущая видеоинформация перезаписывается на старую «по кольцу».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3" w:name="_Toc22226934"/>
      <w:r>
        <w:rPr>
          <w:rFonts w:ascii="ISOCPEUR" w:hAnsi="ISOCPEUR" w:cs="Arial"/>
          <w:i/>
          <w:sz w:val="24"/>
          <w:szCs w:val="24"/>
        </w:rPr>
        <w:t>Технические характеристики оборудования.</w:t>
      </w:r>
      <w:bookmarkEnd w:id="3"/>
    </w:p>
    <w:p>
      <w:pPr>
        <w:autoSpaceDE w:val="0"/>
        <w:autoSpaceDN w:val="0"/>
        <w:adjustRightInd w:val="0"/>
        <w:spacing w:line="360" w:lineRule="auto"/>
        <w:ind w:firstLine="708"/>
        <w:jc w:val="left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5.1 Технические характеристики оборудования указаны в спецификации системы видеонаблюдения.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4" w:name="_Toc22226935"/>
      <w:r>
        <w:rPr>
          <w:rFonts w:ascii="ISOCPEUR" w:hAnsi="ISOCPEUR" w:cs="Arial"/>
          <w:i/>
          <w:sz w:val="24"/>
          <w:szCs w:val="24"/>
        </w:rPr>
        <w:t>Указания по настройке синхронизации времени.</w:t>
      </w:r>
      <w:bookmarkEnd w:id="4"/>
    </w:p>
    <w:p>
      <w:pPr>
        <w:pStyle w:val="4"/>
        <w:tabs>
          <w:tab w:val="left" w:pos="1134"/>
          <w:tab w:val="clear" w:pos="1260"/>
        </w:tabs>
        <w:ind w:firstLine="133"/>
        <w:rPr>
          <w:rFonts w:ascii="ISOCPEUR" w:hAnsi="ISOCPEUR"/>
        </w:rPr>
      </w:pPr>
      <w:r>
        <w:rPr>
          <w:rFonts w:ascii="ISOCPEUR" w:hAnsi="ISOCPEUR"/>
        </w:rPr>
        <w:t>Для синхронизации времени Метроном-200 должен быть:</w:t>
      </w:r>
    </w:p>
    <w:p>
      <w:pPr>
        <w:pStyle w:val="3"/>
        <w:numPr>
          <w:ilvl w:val="0"/>
          <w:numId w:val="6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 xml:space="preserve">смонтирован и подключен </w:t>
      </w:r>
      <w:bookmarkStart w:id="5" w:name="OLE_LINK3"/>
      <w:bookmarkStart w:id="6" w:name="OLE_LINK4"/>
      <w:r>
        <w:rPr>
          <w:rFonts w:ascii="ISOCPEUR" w:hAnsi="ISOCPEUR" w:cs="Arial"/>
          <w:i/>
          <w:szCs w:val="24"/>
        </w:rPr>
        <w:t>согласно руководства по эксплуатации от производителя;</w:t>
      </w:r>
    </w:p>
    <w:bookmarkEnd w:id="5"/>
    <w:bookmarkEnd w:id="6"/>
    <w:p>
      <w:pPr>
        <w:pStyle w:val="3"/>
        <w:numPr>
          <w:ilvl w:val="0"/>
          <w:numId w:val="6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настроен на автоматическую синхронизацию времени со спутниками GPS согласно руководства по эксплуатации от производителя;</w:t>
      </w:r>
    </w:p>
    <w:p>
      <w:pPr>
        <w:pStyle w:val="3"/>
        <w:numPr>
          <w:ilvl w:val="0"/>
          <w:numId w:val="6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подключен к локальной сети системы видеонаблюдения;</w:t>
      </w:r>
    </w:p>
    <w:p>
      <w:pPr>
        <w:pStyle w:val="3"/>
        <w:numPr>
          <w:ilvl w:val="0"/>
          <w:numId w:val="6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настроен как NTP-сервер для локальной сети системы видеонаблюдения.</w:t>
      </w:r>
    </w:p>
    <w:p>
      <w:pPr>
        <w:pStyle w:val="3"/>
        <w:numPr>
          <w:ilvl w:val="0"/>
          <w:numId w:val="6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После подключения к локальной сети при проведении пусконаладки в параметрах IP-камер, видеосервера и УРММ должно быть настроено получение времени по NTP с IP-адреса сервера точного времени Метроном-200.</w:t>
      </w:r>
    </w:p>
    <w:p>
      <w:pPr>
        <w:pStyle w:val="2"/>
        <w:keepNext w:val="0"/>
        <w:numPr>
          <w:ilvl w:val="0"/>
          <w:numId w:val="4"/>
        </w:numPr>
        <w:tabs>
          <w:tab w:val="left" w:pos="720"/>
          <w:tab w:val="clear" w:pos="1980"/>
        </w:tabs>
        <w:ind w:left="431" w:right="1639" w:hanging="431"/>
        <w:rPr>
          <w:rFonts w:ascii="ISOCPEUR" w:hAnsi="ISOCPEUR" w:cs="Arial"/>
          <w:i/>
          <w:sz w:val="24"/>
          <w:szCs w:val="24"/>
        </w:rPr>
      </w:pPr>
      <w:bookmarkStart w:id="7" w:name="_Toc22226936"/>
      <w:r>
        <w:rPr>
          <w:rFonts w:ascii="ISOCPEUR" w:hAnsi="ISOCPEUR" w:cs="Arial"/>
          <w:i/>
          <w:sz w:val="24"/>
          <w:szCs w:val="24"/>
        </w:rPr>
        <w:t>Указания по настройке камер.</w:t>
      </w:r>
      <w:bookmarkEnd w:id="7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Камеры должны быть установлена согласно рабочим чертежам согласно указанной высоты и фокусного расстояния комплектного объектива (для камер с объективами с фиксированным углом зрения).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>После установки должна быть произведена ориентация камер в направлении, согласно прилагаемым файлам визуализации.</w:t>
      </w:r>
    </w:p>
    <w:p>
      <w:pPr>
        <w:pStyle w:val="4"/>
        <w:keepNext w:val="0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Камеры AS4.1, AS4.2, AS1.1, </w:t>
      </w:r>
      <w:bookmarkStart w:id="8" w:name="OLE_LINK13"/>
      <w:bookmarkStart w:id="9" w:name="OLE_LINK9"/>
      <w:bookmarkStart w:id="10" w:name="OLE_LINK10"/>
      <w:bookmarkStart w:id="11" w:name="OLE_LINK14"/>
      <w:bookmarkStart w:id="12" w:name="OLE_LINK15"/>
      <w:bookmarkStart w:id="13" w:name="OLE_LINK16"/>
      <w:bookmarkStart w:id="14" w:name="OLE_LINK17"/>
      <w:bookmarkStart w:id="15" w:name="OLE_LINK18"/>
      <w:bookmarkStart w:id="16" w:name="OLE_LINK19"/>
      <w:bookmarkStart w:id="17" w:name="OLE_LINK20"/>
      <w:bookmarkStart w:id="18" w:name="OLE_LINK21"/>
      <w:bookmarkStart w:id="19" w:name="OLE_LINK11"/>
      <w:bookmarkStart w:id="20" w:name="OLE_LINK12"/>
      <w:r>
        <w:rPr>
          <w:rFonts w:ascii="ISOCPEUR" w:hAnsi="ISOCPEUR" w:cs="Arial"/>
          <w:szCs w:val="24"/>
        </w:rPr>
        <w:t>AS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ascii="ISOCPEUR" w:hAnsi="ISOCPEUR" w:cs="Arial"/>
          <w:szCs w:val="24"/>
        </w:rPr>
        <w:t>1.2, AS1.3, AS1.6, AS1.7, AS1.8, AS1.10, AS2.1, AS2.3, AS2.4, AS2.8, AS2.9, AS3.1, AS3.4, AS3.5, AS3.6 должны быть настроены на работу в коридорном формате 9:16 согласно руководства по эксплуатации камер.</w:t>
      </w:r>
    </w:p>
    <w:p>
      <w:pPr>
        <w:pStyle w:val="4"/>
        <w:keepNext w:val="0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 w:cs="Arial"/>
          <w:szCs w:val="24"/>
        </w:rPr>
        <w:t>На всех камерах должны быть настроены два потока передачи данных. Разрешение основного потока – согласно нижеследующей таблице. Дополнительный поток должен быть в разрешении 640x480</w:t>
      </w:r>
      <w:r>
        <w:rPr>
          <w:rFonts w:ascii="ISOCPEUR" w:hAnsi="ISOCPEUR"/>
        </w:rPr>
        <w:t xml:space="preserve"> (допускается незначительное увеличение). Оба потока должны работать в формате сжатия h.264 со скоростью передачи видео 25 к/с.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2"/>
        <w:gridCol w:w="4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4672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Камера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Разрешение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AS1.3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AS1.4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AS1.5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AS1.6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AS1.7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AS1.8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AS1.9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AS1.10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AS1.11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AS2.3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AS2.4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AS2.5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AS2.6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AS2.7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AS2.8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AS2.9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AS2.10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AS2.11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AS2.12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AS3.3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AS3.4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1280x720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AS3.5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AS3.6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AS3.7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bookmarkStart w:id="21" w:name="OLE_LINK5"/>
            <w:bookmarkStart w:id="22" w:name="OLE_LINK6"/>
            <w:bookmarkStart w:id="23" w:name="OLE_LINK7"/>
            <w:bookmarkStart w:id="24" w:name="OLE_LINK8"/>
            <w:r>
              <w:rPr>
                <w:rFonts w:ascii="ISOCPEUR" w:hAnsi="ISOCPEUR"/>
              </w:rPr>
              <w:t>AS4.1</w:t>
            </w:r>
            <w:bookmarkEnd w:id="21"/>
            <w:bookmarkEnd w:id="22"/>
            <w:bookmarkEnd w:id="23"/>
            <w:bookmarkEnd w:id="24"/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AS4.2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AS4.3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  <w:vAlign w:val="center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AS4.4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2688x1512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AS5.1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AS5.2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72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AS5.3</w:t>
            </w:r>
          </w:p>
        </w:tc>
        <w:tc>
          <w:tcPr>
            <w:tcW w:w="4673" w:type="dxa"/>
          </w:tcPr>
          <w:p>
            <w:pPr>
              <w:pStyle w:val="4"/>
              <w:keepNext w:val="0"/>
              <w:numPr>
                <w:ilvl w:val="0"/>
                <w:numId w:val="0"/>
              </w:numPr>
              <w:tabs>
                <w:tab w:val="center" w:pos="2583"/>
                <w:tab w:val="clear" w:pos="1260"/>
              </w:tabs>
              <w:ind w:left="709"/>
              <w:outlineLvl w:val="1"/>
              <w:rPr>
                <w:rFonts w:ascii="ISOCPEUR" w:hAnsi="ISOCPEUR"/>
              </w:rPr>
            </w:pPr>
            <w:r>
              <w:rPr>
                <w:rFonts w:ascii="ISOCPEUR" w:hAnsi="ISOCPEUR"/>
              </w:rPr>
              <w:t>1920x1080</w:t>
            </w:r>
          </w:p>
        </w:tc>
      </w:tr>
    </w:tbl>
    <w:p>
      <w:pPr>
        <w:rPr>
          <w:rFonts w:ascii="ISOCPEUR" w:hAnsi="ISOCPEUR"/>
        </w:rPr>
      </w:pP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Указанные в таблице требуемые разрешения обеспечивают минимально требуемую для задач наблюдения плотность пикселов, не вызывая при этом сокращения требуемой длительности хранения видеозаписей (30 календарных суток с момента совершения записи).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5" w:name="_Toc22226937"/>
      <w:r>
        <w:rPr>
          <w:rFonts w:ascii="ISOCPEUR" w:hAnsi="ISOCPEUR" w:cs="Arial"/>
          <w:i/>
          <w:sz w:val="24"/>
          <w:szCs w:val="24"/>
        </w:rPr>
        <w:t>Указания к подключению к ЕЦХД.</w:t>
      </w:r>
      <w:bookmarkEnd w:id="25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  <w:szCs w:val="24"/>
        </w:rPr>
      </w:pPr>
      <w:r>
        <w:rPr>
          <w:rFonts w:ascii="ISOCPEUR" w:hAnsi="ISOCPEUR"/>
          <w:szCs w:val="24"/>
        </w:rPr>
        <w:t>Организовать подключение наружной системы видеонаблюдения на объекте к оборудованию ЕЦХД путем организации выделенного канала связи сети передачи данных (СПД). Учесть пропускную способность канала не менее 21,4 Мбит/с из расчёта 4 видеокамеры * 4 Мбит/с = ∑ общ. Мбит/с + 25%(служебный трафик).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  <w:szCs w:val="24"/>
        </w:rPr>
      </w:pPr>
      <w:r>
        <w:rPr>
          <w:rFonts w:ascii="ISOCPEUR" w:hAnsi="ISOCPEUR"/>
          <w:szCs w:val="24"/>
        </w:rPr>
        <w:t xml:space="preserve">Для организации подключения к ЕЦХД в системе видеонаблюдения предусмотрен выделенный </w:t>
      </w:r>
      <w:r>
        <w:rPr>
          <w:rFonts w:hint="default" w:ascii="ISOCPEUR" w:hAnsi="ISOCPEUR"/>
          <w:szCs w:val="24"/>
          <w:lang w:val="ru-RU"/>
        </w:rPr>
        <w:t>маршрутизатор</w:t>
      </w:r>
      <w:bookmarkStart w:id="31" w:name="_GoBack"/>
      <w:bookmarkEnd w:id="31"/>
      <w:r>
        <w:rPr>
          <w:rFonts w:ascii="ISOCPEUR" w:hAnsi="ISOCPEUR"/>
          <w:szCs w:val="24"/>
        </w:rPr>
        <w:t xml:space="preserve"> D-link </w:t>
      </w:r>
      <w:r>
        <w:rPr>
          <w:rFonts w:hint="default" w:ascii="ISOCPEUR" w:hAnsi="ISOCPEUR"/>
          <w:szCs w:val="24"/>
        </w:rPr>
        <w:t>DGS-3130-30TS</w:t>
      </w:r>
      <w:r>
        <w:rPr>
          <w:rFonts w:ascii="ISOCPEUR" w:hAnsi="ISOCPEUR"/>
          <w:szCs w:val="24"/>
        </w:rPr>
        <w:t>. Настройка коммутатора производится согласно указаний оператора сети передачи данных.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  <w:szCs w:val="24"/>
        </w:rPr>
      </w:pPr>
      <w:r>
        <w:rPr>
          <w:rFonts w:ascii="ISOCPEUR" w:hAnsi="ISOCPEUR"/>
          <w:szCs w:val="24"/>
        </w:rPr>
        <w:t>Организация выделенного канала связи СПД обеспечивается по отдельному проекту (государственному и/или муниципальному контракту).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  <w:szCs w:val="24"/>
        </w:rPr>
      </w:pPr>
      <w:r>
        <w:rPr>
          <w:rFonts w:ascii="ISOCPEUR" w:hAnsi="ISOCPEUR"/>
          <w:szCs w:val="24"/>
        </w:rPr>
        <w:t>Интеграцию данной системы наружного видеонаблюдения ЕЦХД требуется выполнить по Регламенту передачи информации, разработанному Департаментом информационных технологий города Москвы от 31 июля 2015 r.N2 64-16-241/15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/>
          <w:b/>
        </w:rPr>
      </w:pPr>
      <w:bookmarkStart w:id="26" w:name="_Toc22226938"/>
      <w:r>
        <w:rPr>
          <w:rFonts w:ascii="ISOCPEUR" w:hAnsi="ISOCPEUR" w:cs="Arial"/>
          <w:i/>
          <w:sz w:val="24"/>
          <w:szCs w:val="24"/>
        </w:rPr>
        <w:t>Указания по монтажу кабелей и коммутационного оборудования.</w:t>
      </w:r>
      <w:bookmarkEnd w:id="26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Прокладку кабельных линий связи вести с учетом требований:</w:t>
      </w:r>
    </w:p>
    <w:p>
      <w:pPr>
        <w:pStyle w:val="3"/>
        <w:numPr>
          <w:ilvl w:val="0"/>
          <w:numId w:val="7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ГОСТ Р 53246—2008</w:t>
      </w:r>
    </w:p>
    <w:p>
      <w:pPr>
        <w:pStyle w:val="3"/>
        <w:numPr>
          <w:ilvl w:val="0"/>
          <w:numId w:val="7"/>
        </w:numPr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ПУЭ - Правила устройства электроустановок;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При монтаже кабелей в трассах и телекоммуникационных помещениях следует использовать средства маршрутизации кабельных потоков, их крепления и фиксации. Кабельные хомуты (стяжки, бандаж и т. п.), используемые для формирования кабельных пучков, должны располагаться на пучке так, чтобы хомут мог свободно перемещаться в продольном и поперечном направлениях. Не допускается затягивание хомутов, приводящее к деформации оболочки кабелей. Не допускается крепление телекоммуникационных кабелей с помощью скоб. При прокладке следует учитывать, что длина линии связи до камеры от коммутатора не должна превышать 100м (с учетом длины патч-корда от розетки до камеры). Горизонтальные кабели по механической длине от розетки до распределительной панели не должны превышать 90м.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Радиусы изгиба кабелей горизонтальной и магистральной подсистем не должны быть менее:</w:t>
      </w:r>
    </w:p>
    <w:p>
      <w:pPr>
        <w:pStyle w:val="3"/>
        <w:numPr>
          <w:ilvl w:val="0"/>
          <w:numId w:val="8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8 внешних диаметров кабеля для 4-парных кабелей на основе экранированной витой пары проводников (UTP, FTP, ScTP, SFTP) в состоянии эксплуатации;</w:t>
      </w:r>
    </w:p>
    <w:p>
      <w:pPr>
        <w:pStyle w:val="3"/>
        <w:numPr>
          <w:ilvl w:val="0"/>
          <w:numId w:val="8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10 внешних диаметров кабеля для 4-парных кабелей на основе экранированной витой пары проводников (UTP, FTP, ScTP, SFTP) в процессе монтажа;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Сила натяжения кабелей горизонтальной и магистральной подсистем во время монтажа и в процессе эксплуатации не должна быть более 110 Н для 4-парных кабелей на основе неэкранированной и экранированной витой пары проводников.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При монтаже кабельной системы рекомендуется предусматривать создание запаса кабеля на обоих концах кабельных сегментов с целью обеспечения возможности внесения изменений в будущем.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Рекомендуется оставлять следующий запас кабеля на основе витой пары проводников - 3 м. Предпочтительно запас делать в виде «и»-образных петель с соблюдением минимального радиуса изгиба.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Коммутационное оборудование может быть установлено с помощью адаптеров, контейнеров, на стенах, в стойках, в рамах и других монтажных приспособлениях.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Коннекторы телекоммуникационных розеток должны быть надежно закреплены на рабочих местах. Расположение розеток должно быть выбрано так, чтобы обеспечить подключение активного оборудования с помощью аппаратного шнура длиной не более 1 м.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Расположенные на улице камеры должны быть смонтированы и подключены согласно лл. 20 и 21 рабочих чертежей.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Общие правила, относящиеся к маркировке отдельных компонентов кабельной системы:</w:t>
      </w:r>
    </w:p>
    <w:p>
      <w:pPr>
        <w:pStyle w:val="3"/>
        <w:numPr>
          <w:ilvl w:val="0"/>
          <w:numId w:val="9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возможность цветовой идентификации;</w:t>
      </w:r>
    </w:p>
    <w:p>
      <w:pPr>
        <w:pStyle w:val="3"/>
        <w:numPr>
          <w:ilvl w:val="0"/>
          <w:numId w:val="9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устойчивость к воздействию таких факторов окружающей среды, как повышенная влажность, разность температур, истирание и пр.;</w:t>
      </w:r>
    </w:p>
    <w:p>
      <w:pPr>
        <w:pStyle w:val="3"/>
        <w:numPr>
          <w:ilvl w:val="0"/>
          <w:numId w:val="9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сочетание простоты установки с надежностью крепления;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 xml:space="preserve">Идентификаторы должны быть нанесены на каждую единицу коммутационного оборудования или его метку и на метки соответствующих позиций коммутационного оборудования. 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Пример маркировки указан в листе 10 рабочих чертежей.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7" w:name="_Toc22226939"/>
      <w:r>
        <w:rPr>
          <w:rFonts w:ascii="ISOCPEUR" w:hAnsi="ISOCPEUR" w:cs="Arial"/>
          <w:i/>
          <w:sz w:val="24"/>
          <w:szCs w:val="24"/>
        </w:rPr>
        <w:t>Электропитание и заземление.</w:t>
      </w:r>
      <w:bookmarkEnd w:id="27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Электропитание оборудования осуществляется от сети переменного тока напряжением 230 В, 50 Гц. Станционное оборудование, мониторы и коммутаторы подключаются к источникам бесперебойного питания, которые, в свою очередь, подключаются к общей сети электропитания. Для обеспечения управления станционным оборудованием предусмотрено подключение ИБП через интерфейс USB. На сервер и УРММ должно быть установлено идущее в комплекте ПО от ИБП и настроено автоматическое выключение сервера и УРММ по сигналу разрядки батарей ИБП. Для обеспечения безопасной эксплуатации до начала работы необходимо заземлить имеющиеся металлические корпуса, присоединив их к шине заземления, при этом контактное сопротивление заземления должно быть не более 0,5 Ом.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Присоединение заземляющих защитных проводников к частям оборудования выполняется болтовым соединением.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8" w:name="_Toc22226940"/>
      <w:r>
        <w:rPr>
          <w:rFonts w:ascii="ISOCPEUR" w:hAnsi="ISOCPEUR" w:cs="Arial"/>
          <w:i/>
          <w:sz w:val="24"/>
          <w:szCs w:val="24"/>
        </w:rPr>
        <w:t>Требования безопасности труда.</w:t>
      </w:r>
      <w:bookmarkEnd w:id="28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Монтажные и пусконаладочные работы следует начинать только после выполнения мероприятий по технике безопасности согласно СНиПам.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Работу с техническими средствами видеонаблюдения необходимо производить с соблюдением ПУЭ.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При работе на высоте необходимо использовать только приставные лестницы или стремянки. Применение подручных средств категорически запрещается. Нижние концы лестницы должны иметь упоры в виде металлических шипов или наконечников.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29" w:name="_Toc22226941"/>
      <w:r>
        <w:rPr>
          <w:rFonts w:ascii="ISOCPEUR" w:hAnsi="ISOCPEUR" w:cs="Arial"/>
          <w:i/>
          <w:sz w:val="24"/>
          <w:szCs w:val="24"/>
        </w:rPr>
        <w:t>Противопожарные мероприятия.</w:t>
      </w:r>
      <w:bookmarkEnd w:id="29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Пожарная безопасность обеспечивается следующими решениями:</w:t>
      </w:r>
    </w:p>
    <w:p>
      <w:pPr>
        <w:pStyle w:val="3"/>
        <w:numPr>
          <w:ilvl w:val="0"/>
          <w:numId w:val="10"/>
        </w:numPr>
        <w:ind w:left="0" w:firstLine="720"/>
        <w:rPr>
          <w:rFonts w:ascii="ISOCPEUR" w:hAnsi="ISOCPEUR" w:cs="Arial"/>
          <w:i/>
          <w:szCs w:val="24"/>
        </w:rPr>
      </w:pPr>
      <w:r>
        <w:rPr>
          <w:rFonts w:ascii="ISOCPEUR" w:hAnsi="ISOCPEUR" w:cs="Arial"/>
          <w:i/>
          <w:szCs w:val="24"/>
        </w:rPr>
        <w:t>выбором марок кабелей и способом их прокладки в зависимости от категории и класса помещений по пожарной опасности.</w:t>
      </w:r>
    </w:p>
    <w:p>
      <w:pPr>
        <w:pStyle w:val="2"/>
        <w:numPr>
          <w:ilvl w:val="0"/>
          <w:numId w:val="4"/>
        </w:numPr>
        <w:tabs>
          <w:tab w:val="left" w:pos="720"/>
          <w:tab w:val="clear" w:pos="1980"/>
        </w:tabs>
        <w:rPr>
          <w:rFonts w:ascii="ISOCPEUR" w:hAnsi="ISOCPEUR" w:cs="Arial"/>
          <w:i/>
          <w:sz w:val="24"/>
          <w:szCs w:val="24"/>
        </w:rPr>
      </w:pPr>
      <w:bookmarkStart w:id="30" w:name="_Toc22226942"/>
      <w:r>
        <w:rPr>
          <w:rFonts w:ascii="ISOCPEUR" w:hAnsi="ISOCPEUR" w:cs="Arial"/>
          <w:i/>
          <w:sz w:val="24"/>
          <w:szCs w:val="24"/>
        </w:rPr>
        <w:t>Мероприятия по охране окружающей среды.</w:t>
      </w:r>
      <w:bookmarkEnd w:id="30"/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Сооружения связи являются одним из наиболее экологически чистых видов сооружений народного хозяйства. В период эксплуатации они не производят вредных выбросов и промышленных отходов в окружающую среду и, в то же время, дают значительный социально- экономический эффект по оказанию услуг связи населению и народному хозяйству. Прокладываемые кабели не создают шума и вибраций и не оказывают вредного воздействия на окружающую среду. Специальных мер по охране атмосферного воздуха, подземных и поверхностных вод не требуется.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Работы по утилизации отходов необходимо выполнить согласно Федеральному закону № 89-ФЗ принятому 22.05.98 г. "Об отходах производства и потребления".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Отходы, образующиеся при строительстве линейных сооружений, утилизируются в контейнеры и вывозятся в места общего складирования мусора по договоренности со службами коммунального хозяйства.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С учетом изложенного, проектные решения исключают отрицательное воздействие на окружающую среду.</w:t>
      </w:r>
    </w:p>
    <w:p>
      <w:pPr>
        <w:pStyle w:val="4"/>
        <w:tabs>
          <w:tab w:val="left" w:pos="1134"/>
          <w:tab w:val="clear" w:pos="576"/>
          <w:tab w:val="clear" w:pos="1260"/>
        </w:tabs>
        <w:spacing w:after="0" w:line="360" w:lineRule="auto"/>
        <w:ind w:left="0" w:firstLine="709"/>
        <w:rPr>
          <w:rFonts w:ascii="ISOCPEUR" w:hAnsi="ISOCPEUR"/>
        </w:rPr>
      </w:pPr>
      <w:r>
        <w:rPr>
          <w:rFonts w:ascii="ISOCPEUR" w:hAnsi="ISOCPEUR"/>
        </w:rPr>
        <w:t>Технические решения, принятые в рабочем проекте, соответствуют требованиям экологических, санитарно-гигиенических, противопожарных и других норм, действующих на территории Российской Федерации, и обеспечивают безопасную для жизни и здоровья людей эксплуатацию объекта при соблюдении предусмотренных рабочими чертежами мероприятий и правил техники безопасности.</w:t>
      </w:r>
    </w:p>
    <w:p>
      <w:pPr>
        <w:pStyle w:val="3"/>
      </w:pPr>
    </w:p>
    <w:p>
      <w:pPr>
        <w:pStyle w:val="4"/>
        <w:numPr>
          <w:ilvl w:val="0"/>
          <w:numId w:val="0"/>
        </w:numPr>
        <w:tabs>
          <w:tab w:val="clear" w:pos="1260"/>
        </w:tabs>
        <w:spacing w:after="0" w:line="360" w:lineRule="auto"/>
        <w:ind w:left="576" w:hanging="576"/>
        <w:rPr>
          <w:rFonts w:ascii="ISOCPEUR" w:hAnsi="ISOCPEUR"/>
        </w:rPr>
      </w:pPr>
      <w:r>
        <w:rPr>
          <w:rFonts w:ascii="ISOCPEUR" w:hAnsi="ISOCPEUR"/>
        </w:rPr>
        <w:t>Главный инженер проекта _______________ /______.</w:t>
      </w:r>
    </w:p>
    <w:p>
      <w:pPr>
        <w:spacing w:line="360" w:lineRule="auto"/>
        <w:rPr>
          <w:rFonts w:ascii="ISOCPEUR" w:hAnsi="ISOCPEUR"/>
          <w:i/>
          <w:szCs w:val="24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ISOCPEUR">
    <w:panose1 w:val="020B0604020202020204"/>
    <w:charset w:val="CC"/>
    <w:family w:val="swiss"/>
    <w:pitch w:val="default"/>
    <w:sig w:usb0="00000287" w:usb1="00000000" w:usb2="00000000" w:usb3="00000000" w:csb0="4000009F" w:csb1="DFD7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>
              <wp:simplePos x="0" y="0"/>
              <wp:positionH relativeFrom="page">
                <wp:posOffset>716280</wp:posOffset>
              </wp:positionH>
              <wp:positionV relativeFrom="page">
                <wp:posOffset>234315</wp:posOffset>
              </wp:positionV>
              <wp:extent cx="6591300" cy="10187305"/>
              <wp:effectExtent l="19050" t="19050" r="19050" b="23495"/>
              <wp:wrapNone/>
              <wp:docPr id="1" name="Прямоугольник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6591300" cy="1018730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56.4pt;margin-top:18.45pt;height:802.15pt;width:519pt;mso-position-horizontal-relative:page;mso-position-vertical-relative:page;z-index:251659264;mso-width-relative:page;mso-height-relative:page;" filled="f" stroked="t" coordsize="21600,21600" o:gfxdata="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9IQUPaAAAADAEAAA8AAAAAAAAAAQAgAAAAIgAAAGRycy9kb3ducmV2&#10;LnhtbFBLAQIUABQAAAAIAIdO4kAaGjUqMwIAACIEAAAOAAAAAAAAAAEAIAAAACkBAABkcnMvZTJv&#10;RG9jLnhtbFBLBQYAAAAABgAGAFkBAADOBQAAAAA=&#10;">
              <v:fill on="f" focussize="0,0"/>
              <v:stroke weight="2.25pt" color="#000000" miterlimit="8" joinstyle="miter"/>
              <v:imagedata o:title=""/>
              <o:lock v:ext="edit" aspectratio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06F97"/>
    <w:multiLevelType w:val="multilevel"/>
    <w:tmpl w:val="3D506F9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cs="Times New Roman"/>
        <w:b w:val="0"/>
        <w:i/>
        <w:sz w:val="24"/>
        <w:szCs w:val="24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  <w:rPr>
        <w:rFonts w:hint="default" w:ascii="ISOCPEUR" w:hAnsi="ISOCPEUR" w:cs="Times New Roman"/>
        <w:i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720"/>
        </w:tabs>
        <w:ind w:left="720" w:hanging="720"/>
      </w:pPr>
      <w:rPr>
        <w:rFonts w:hint="default" w:ascii="ISOCPEUR" w:hAnsi="ISOCPEUR" w:cs="Times New Roman"/>
        <w:i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cs="Times New Roman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cs="Times New Roman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cs="Times New Roman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cs="Times New Roman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cs="Times New Roman"/>
      </w:rPr>
    </w:lvl>
  </w:abstractNum>
  <w:abstractNum w:abstractNumId="1">
    <w:nsid w:val="419D6C70"/>
    <w:multiLevelType w:val="multilevel"/>
    <w:tmpl w:val="419D6C70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B757EB"/>
    <w:multiLevelType w:val="multilevel"/>
    <w:tmpl w:val="57B757EB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7C16A9"/>
    <w:multiLevelType w:val="multilevel"/>
    <w:tmpl w:val="5E7C16A9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7865C2C"/>
    <w:multiLevelType w:val="multilevel"/>
    <w:tmpl w:val="67865C2C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A9B01BB"/>
    <w:multiLevelType w:val="multilevel"/>
    <w:tmpl w:val="6A9B01BB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3211C95"/>
    <w:multiLevelType w:val="multilevel"/>
    <w:tmpl w:val="73211C95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80647C5"/>
    <w:multiLevelType w:val="multilevel"/>
    <w:tmpl w:val="780647C5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3F54B9"/>
    <w:multiLevelType w:val="multilevel"/>
    <w:tmpl w:val="783F54B9"/>
    <w:lvl w:ilvl="0" w:tentative="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  <w:lvlOverride w:ilvl="0">
      <w:startOverride w:val="3"/>
    </w:lvlOverride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E7"/>
    <w:rsid w:val="00022F09"/>
    <w:rsid w:val="0003554E"/>
    <w:rsid w:val="0008440D"/>
    <w:rsid w:val="000944FE"/>
    <w:rsid w:val="000974C5"/>
    <w:rsid w:val="000B4264"/>
    <w:rsid w:val="000C321C"/>
    <w:rsid w:val="000E22A6"/>
    <w:rsid w:val="0012544B"/>
    <w:rsid w:val="0018600B"/>
    <w:rsid w:val="001C5E3C"/>
    <w:rsid w:val="001C6261"/>
    <w:rsid w:val="001E540C"/>
    <w:rsid w:val="001E6D47"/>
    <w:rsid w:val="001E7C07"/>
    <w:rsid w:val="001F13C6"/>
    <w:rsid w:val="00227E1E"/>
    <w:rsid w:val="00262DC5"/>
    <w:rsid w:val="00266BE1"/>
    <w:rsid w:val="002A7D91"/>
    <w:rsid w:val="002E7B68"/>
    <w:rsid w:val="002E7C3A"/>
    <w:rsid w:val="002F4A7F"/>
    <w:rsid w:val="003303C8"/>
    <w:rsid w:val="00375E7B"/>
    <w:rsid w:val="00390186"/>
    <w:rsid w:val="00403937"/>
    <w:rsid w:val="00422994"/>
    <w:rsid w:val="004347F2"/>
    <w:rsid w:val="0044362F"/>
    <w:rsid w:val="00445C22"/>
    <w:rsid w:val="004627B3"/>
    <w:rsid w:val="00492661"/>
    <w:rsid w:val="004A660E"/>
    <w:rsid w:val="004D7E86"/>
    <w:rsid w:val="004E068D"/>
    <w:rsid w:val="00500C06"/>
    <w:rsid w:val="00513E10"/>
    <w:rsid w:val="0051418C"/>
    <w:rsid w:val="00517702"/>
    <w:rsid w:val="0058569F"/>
    <w:rsid w:val="00592E0B"/>
    <w:rsid w:val="005B24C5"/>
    <w:rsid w:val="005C56BB"/>
    <w:rsid w:val="005E2086"/>
    <w:rsid w:val="005E2835"/>
    <w:rsid w:val="005F54D8"/>
    <w:rsid w:val="00610D61"/>
    <w:rsid w:val="00615409"/>
    <w:rsid w:val="00630707"/>
    <w:rsid w:val="00630859"/>
    <w:rsid w:val="00637E90"/>
    <w:rsid w:val="006420B0"/>
    <w:rsid w:val="00651744"/>
    <w:rsid w:val="00666F3C"/>
    <w:rsid w:val="00693E05"/>
    <w:rsid w:val="00696BD8"/>
    <w:rsid w:val="006A70ED"/>
    <w:rsid w:val="006A7C0A"/>
    <w:rsid w:val="006B1918"/>
    <w:rsid w:val="006F4994"/>
    <w:rsid w:val="00725335"/>
    <w:rsid w:val="00732B2D"/>
    <w:rsid w:val="0078070C"/>
    <w:rsid w:val="00786D6C"/>
    <w:rsid w:val="00787F54"/>
    <w:rsid w:val="007A0C8B"/>
    <w:rsid w:val="007C08B7"/>
    <w:rsid w:val="0081702A"/>
    <w:rsid w:val="00820574"/>
    <w:rsid w:val="008211C2"/>
    <w:rsid w:val="008231B6"/>
    <w:rsid w:val="0086418C"/>
    <w:rsid w:val="00874938"/>
    <w:rsid w:val="008956B4"/>
    <w:rsid w:val="008A58C6"/>
    <w:rsid w:val="008C2539"/>
    <w:rsid w:val="008C3ACE"/>
    <w:rsid w:val="008E44CA"/>
    <w:rsid w:val="008E6AD7"/>
    <w:rsid w:val="008F5427"/>
    <w:rsid w:val="008F5CD6"/>
    <w:rsid w:val="00904681"/>
    <w:rsid w:val="00910CC4"/>
    <w:rsid w:val="00924990"/>
    <w:rsid w:val="009330E2"/>
    <w:rsid w:val="00937A52"/>
    <w:rsid w:val="00937F1C"/>
    <w:rsid w:val="00941A3E"/>
    <w:rsid w:val="00953221"/>
    <w:rsid w:val="00973372"/>
    <w:rsid w:val="00992785"/>
    <w:rsid w:val="009A135F"/>
    <w:rsid w:val="009C14B8"/>
    <w:rsid w:val="009C5119"/>
    <w:rsid w:val="009F4712"/>
    <w:rsid w:val="009F55E7"/>
    <w:rsid w:val="00A0250A"/>
    <w:rsid w:val="00A16F39"/>
    <w:rsid w:val="00A22B6F"/>
    <w:rsid w:val="00AC0F3D"/>
    <w:rsid w:val="00AC5B2A"/>
    <w:rsid w:val="00AD754D"/>
    <w:rsid w:val="00AE3EF9"/>
    <w:rsid w:val="00AF030B"/>
    <w:rsid w:val="00AF0433"/>
    <w:rsid w:val="00B07CD7"/>
    <w:rsid w:val="00B22AD0"/>
    <w:rsid w:val="00B33085"/>
    <w:rsid w:val="00B43A6A"/>
    <w:rsid w:val="00B536BB"/>
    <w:rsid w:val="00B67723"/>
    <w:rsid w:val="00B70EC7"/>
    <w:rsid w:val="00B92403"/>
    <w:rsid w:val="00B954C9"/>
    <w:rsid w:val="00BB7EEF"/>
    <w:rsid w:val="00C042E0"/>
    <w:rsid w:val="00C25761"/>
    <w:rsid w:val="00C25FCB"/>
    <w:rsid w:val="00C4615C"/>
    <w:rsid w:val="00C5505A"/>
    <w:rsid w:val="00C653B4"/>
    <w:rsid w:val="00CA1FF7"/>
    <w:rsid w:val="00CA659F"/>
    <w:rsid w:val="00CB37B9"/>
    <w:rsid w:val="00CB4BA0"/>
    <w:rsid w:val="00D031EF"/>
    <w:rsid w:val="00D047E4"/>
    <w:rsid w:val="00D10477"/>
    <w:rsid w:val="00D1723E"/>
    <w:rsid w:val="00D3274D"/>
    <w:rsid w:val="00D43170"/>
    <w:rsid w:val="00D731D2"/>
    <w:rsid w:val="00D84303"/>
    <w:rsid w:val="00DE348B"/>
    <w:rsid w:val="00DE41E9"/>
    <w:rsid w:val="00DF597A"/>
    <w:rsid w:val="00E16496"/>
    <w:rsid w:val="00E27ADE"/>
    <w:rsid w:val="00E765AA"/>
    <w:rsid w:val="00E82890"/>
    <w:rsid w:val="00EA35B1"/>
    <w:rsid w:val="00EA5C72"/>
    <w:rsid w:val="00EE4C3B"/>
    <w:rsid w:val="00F27BF5"/>
    <w:rsid w:val="00F304C1"/>
    <w:rsid w:val="00F6549E"/>
    <w:rsid w:val="00F72DE7"/>
    <w:rsid w:val="00F87066"/>
    <w:rsid w:val="00F90F39"/>
    <w:rsid w:val="00F92F91"/>
    <w:rsid w:val="00FA682E"/>
    <w:rsid w:val="00FC3BF9"/>
    <w:rsid w:val="00FD2070"/>
    <w:rsid w:val="01C8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nhideWhenUsed="0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nhideWhenUsed="0" w:uiPriority="99" w:semiHidden="0" w:name="Table Professional"/>
    <w:lsdException w:uiPriority="99" w:name="Table Subtle 1"/>
    <w:lsdException w:uiPriority="99" w:name="Table Subtle 2"/>
    <w:lsdException w:unhideWhenUsed="0" w:uiPriority="99" w:semiHidden="0" w:name="Table Web 1"/>
    <w:lsdException w:unhideWhenUsed="0" w:uiPriority="99" w:semiHidden="0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imes New Roman" w:hAnsi="Times New Roman" w:eastAsia="Times New Roman" w:cs="Times New Roman"/>
      <w:sz w:val="24"/>
      <w:szCs w:val="20"/>
      <w:lang w:val="ru-RU" w:eastAsia="ru-RU" w:bidi="ar-SA"/>
    </w:rPr>
  </w:style>
  <w:style w:type="paragraph" w:styleId="2">
    <w:name w:val="heading 1"/>
    <w:basedOn w:val="1"/>
    <w:next w:val="3"/>
    <w:link w:val="26"/>
    <w:qFormat/>
    <w:uiPriority w:val="0"/>
    <w:pPr>
      <w:keepNext/>
      <w:numPr>
        <w:ilvl w:val="0"/>
        <w:numId w:val="1"/>
      </w:numPr>
      <w:tabs>
        <w:tab w:val="left" w:pos="1980"/>
      </w:tabs>
      <w:spacing w:before="720" w:after="360"/>
      <w:ind w:right="1641"/>
      <w:jc w:val="center"/>
      <w:outlineLvl w:val="0"/>
    </w:pPr>
    <w:rPr>
      <w:caps/>
      <w:sz w:val="28"/>
    </w:rPr>
  </w:style>
  <w:style w:type="paragraph" w:styleId="4">
    <w:name w:val="heading 2"/>
    <w:basedOn w:val="1"/>
    <w:next w:val="3"/>
    <w:link w:val="27"/>
    <w:qFormat/>
    <w:uiPriority w:val="0"/>
    <w:pPr>
      <w:keepNext/>
      <w:numPr>
        <w:ilvl w:val="1"/>
        <w:numId w:val="1"/>
      </w:numPr>
      <w:tabs>
        <w:tab w:val="left" w:pos="1260"/>
      </w:tabs>
      <w:spacing w:after="240"/>
      <w:outlineLvl w:val="1"/>
    </w:pPr>
    <w:rPr>
      <w:i/>
      <w:iCs/>
    </w:rPr>
  </w:style>
  <w:style w:type="paragraph" w:styleId="5">
    <w:name w:val="heading 3"/>
    <w:basedOn w:val="1"/>
    <w:next w:val="3"/>
    <w:link w:val="28"/>
    <w:qFormat/>
    <w:uiPriority w:val="0"/>
    <w:pPr>
      <w:keepNext/>
      <w:numPr>
        <w:ilvl w:val="2"/>
        <w:numId w:val="1"/>
      </w:numPr>
      <w:spacing w:after="120"/>
      <w:outlineLvl w:val="2"/>
    </w:pPr>
  </w:style>
  <w:style w:type="paragraph" w:styleId="6">
    <w:name w:val="heading 4"/>
    <w:basedOn w:val="1"/>
    <w:next w:val="1"/>
    <w:link w:val="29"/>
    <w:qFormat/>
    <w:uiPriority w:val="0"/>
    <w:pPr>
      <w:keepNext/>
      <w:numPr>
        <w:ilvl w:val="3"/>
        <w:numId w:val="1"/>
      </w:numPr>
      <w:spacing w:before="120"/>
      <w:jc w:val="center"/>
      <w:outlineLvl w:val="3"/>
    </w:pPr>
    <w:rPr>
      <w:rFonts w:ascii="Arial" w:hAnsi="Arial" w:cs="Arial"/>
      <w:i/>
      <w:iCs/>
      <w:sz w:val="28"/>
      <w:szCs w:val="28"/>
    </w:rPr>
  </w:style>
  <w:style w:type="paragraph" w:styleId="7">
    <w:name w:val="heading 5"/>
    <w:basedOn w:val="1"/>
    <w:next w:val="1"/>
    <w:link w:val="30"/>
    <w:qFormat/>
    <w:uiPriority w:val="0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 w:cs="Arial"/>
      <w:i/>
      <w:iCs/>
      <w:sz w:val="20"/>
      <w:szCs w:val="28"/>
    </w:rPr>
  </w:style>
  <w:style w:type="paragraph" w:styleId="8">
    <w:name w:val="heading 6"/>
    <w:basedOn w:val="1"/>
    <w:next w:val="1"/>
    <w:link w:val="3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7"/>
    <w:basedOn w:val="1"/>
    <w:next w:val="1"/>
    <w:link w:val="32"/>
    <w:qFormat/>
    <w:uiPriority w:val="0"/>
    <w:pPr>
      <w:numPr>
        <w:ilvl w:val="6"/>
        <w:numId w:val="1"/>
      </w:numPr>
      <w:spacing w:before="240" w:after="60"/>
      <w:outlineLvl w:val="6"/>
    </w:pPr>
    <w:rPr>
      <w:szCs w:val="24"/>
    </w:rPr>
  </w:style>
  <w:style w:type="paragraph" w:styleId="10">
    <w:name w:val="heading 8"/>
    <w:basedOn w:val="1"/>
    <w:next w:val="1"/>
    <w:link w:val="33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Cs w:val="24"/>
    </w:rPr>
  </w:style>
  <w:style w:type="paragraph" w:styleId="11">
    <w:name w:val="heading 9"/>
    <w:basedOn w:val="1"/>
    <w:next w:val="1"/>
    <w:link w:val="34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24"/>
    <w:semiHidden/>
    <w:uiPriority w:val="0"/>
    <w:pPr>
      <w:spacing w:line="360" w:lineRule="auto"/>
      <w:ind w:firstLine="720"/>
    </w:pPr>
  </w:style>
  <w:style w:type="paragraph" w:styleId="12">
    <w:name w:val="Balloon Text"/>
    <w:basedOn w:val="1"/>
    <w:link w:val="41"/>
    <w:semiHidden/>
    <w:unhideWhenUsed/>
    <w:uiPriority w:val="99"/>
    <w:rPr>
      <w:rFonts w:ascii="Tahoma" w:hAnsi="Tahoma" w:cs="Tahoma"/>
      <w:sz w:val="16"/>
      <w:szCs w:val="16"/>
    </w:rPr>
  </w:style>
  <w:style w:type="paragraph" w:styleId="13">
    <w:name w:val="annotation text"/>
    <w:basedOn w:val="1"/>
    <w:link w:val="39"/>
    <w:semiHidden/>
    <w:unhideWhenUsed/>
    <w:uiPriority w:val="99"/>
    <w:rPr>
      <w:sz w:val="20"/>
    </w:rPr>
  </w:style>
  <w:style w:type="paragraph" w:styleId="14">
    <w:name w:val="annotation subject"/>
    <w:basedOn w:val="13"/>
    <w:next w:val="13"/>
    <w:link w:val="40"/>
    <w:semiHidden/>
    <w:unhideWhenUsed/>
    <w:uiPriority w:val="99"/>
    <w:rPr>
      <w:b/>
      <w:bCs/>
    </w:rPr>
  </w:style>
  <w:style w:type="paragraph" w:styleId="15">
    <w:name w:val="header"/>
    <w:basedOn w:val="1"/>
    <w:link w:val="25"/>
    <w:semiHidden/>
    <w:uiPriority w:val="0"/>
    <w:pPr>
      <w:tabs>
        <w:tab w:val="center" w:pos="4677"/>
        <w:tab w:val="right" w:pos="9355"/>
      </w:tabs>
    </w:pPr>
  </w:style>
  <w:style w:type="paragraph" w:styleId="16">
    <w:name w:val="Body Text"/>
    <w:basedOn w:val="1"/>
    <w:link w:val="46"/>
    <w:semiHidden/>
    <w:unhideWhenUsed/>
    <w:uiPriority w:val="99"/>
    <w:pPr>
      <w:spacing w:after="120"/>
    </w:pPr>
  </w:style>
  <w:style w:type="paragraph" w:styleId="17">
    <w:name w:val="toc 1"/>
    <w:basedOn w:val="1"/>
    <w:next w:val="1"/>
    <w:uiPriority w:val="39"/>
    <w:pPr>
      <w:tabs>
        <w:tab w:val="left" w:pos="440"/>
        <w:tab w:val="right" w:leader="dot" w:pos="9356"/>
      </w:tabs>
    </w:pPr>
  </w:style>
  <w:style w:type="character" w:styleId="19">
    <w:name w:val="annotation reference"/>
    <w:basedOn w:val="18"/>
    <w:semiHidden/>
    <w:unhideWhenUsed/>
    <w:uiPriority w:val="99"/>
    <w:rPr>
      <w:sz w:val="16"/>
      <w:szCs w:val="16"/>
    </w:rPr>
  </w:style>
  <w:style w:type="character" w:styleId="20">
    <w:name w:val="Emphasis"/>
    <w:qFormat/>
    <w:uiPriority w:val="0"/>
    <w:rPr>
      <w:i/>
      <w:iCs/>
    </w:rPr>
  </w:style>
  <w:style w:type="character" w:styleId="21">
    <w:name w:val="Hyperlink"/>
    <w:uiPriority w:val="99"/>
    <w:rPr>
      <w:rFonts w:cs="Times New Roman"/>
      <w:color w:val="0000FF"/>
      <w:u w:val="single"/>
    </w:rPr>
  </w:style>
  <w:style w:type="table" w:styleId="23">
    <w:name w:val="Table Grid"/>
    <w:basedOn w:val="2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Основной текст с отступом Знак"/>
    <w:basedOn w:val="18"/>
    <w:link w:val="3"/>
    <w:semiHidden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5">
    <w:name w:val="Верхний колонтитул Знак"/>
    <w:basedOn w:val="18"/>
    <w:link w:val="15"/>
    <w:semiHidden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6">
    <w:name w:val="Заголовок 1 Знак"/>
    <w:basedOn w:val="18"/>
    <w:link w:val="2"/>
    <w:uiPriority w:val="0"/>
    <w:rPr>
      <w:rFonts w:ascii="Times New Roman" w:hAnsi="Times New Roman" w:eastAsia="Times New Roman" w:cs="Times New Roman"/>
      <w:caps/>
      <w:sz w:val="28"/>
      <w:szCs w:val="20"/>
      <w:lang w:eastAsia="ru-RU"/>
    </w:rPr>
  </w:style>
  <w:style w:type="character" w:customStyle="1" w:styleId="27">
    <w:name w:val="Заголовок 2 Знак"/>
    <w:basedOn w:val="18"/>
    <w:link w:val="4"/>
    <w:uiPriority w:val="0"/>
    <w:rPr>
      <w:rFonts w:ascii="Times New Roman" w:hAnsi="Times New Roman" w:eastAsia="Times New Roman" w:cs="Times New Roman"/>
      <w:i/>
      <w:iCs/>
      <w:sz w:val="24"/>
      <w:szCs w:val="20"/>
      <w:lang w:eastAsia="ru-RU"/>
    </w:rPr>
  </w:style>
  <w:style w:type="character" w:customStyle="1" w:styleId="28">
    <w:name w:val="Заголовок 3 Знак"/>
    <w:basedOn w:val="18"/>
    <w:link w:val="5"/>
    <w:uiPriority w:val="0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customStyle="1" w:styleId="29">
    <w:name w:val="Заголовок 4 Знак"/>
    <w:basedOn w:val="18"/>
    <w:link w:val="6"/>
    <w:uiPriority w:val="0"/>
    <w:rPr>
      <w:rFonts w:ascii="Arial" w:hAnsi="Arial" w:eastAsia="Times New Roman" w:cs="Arial"/>
      <w:i/>
      <w:iCs/>
      <w:sz w:val="28"/>
      <w:szCs w:val="28"/>
      <w:lang w:eastAsia="ru-RU"/>
    </w:rPr>
  </w:style>
  <w:style w:type="character" w:customStyle="1" w:styleId="30">
    <w:name w:val="Заголовок 5 Знак"/>
    <w:basedOn w:val="18"/>
    <w:link w:val="7"/>
    <w:uiPriority w:val="0"/>
    <w:rPr>
      <w:rFonts w:ascii="Arial" w:hAnsi="Arial" w:eastAsia="Times New Roman" w:cs="Arial"/>
      <w:i/>
      <w:iCs/>
      <w:sz w:val="20"/>
      <w:szCs w:val="28"/>
      <w:lang w:eastAsia="ru-RU"/>
    </w:rPr>
  </w:style>
  <w:style w:type="character" w:customStyle="1" w:styleId="31">
    <w:name w:val="Заголовок 6 Знак"/>
    <w:basedOn w:val="18"/>
    <w:link w:val="8"/>
    <w:uiPriority w:val="0"/>
    <w:rPr>
      <w:rFonts w:ascii="Times New Roman" w:hAnsi="Times New Roman" w:eastAsia="Times New Roman" w:cs="Times New Roman"/>
      <w:b/>
      <w:bCs/>
      <w:lang w:eastAsia="ru-RU"/>
    </w:rPr>
  </w:style>
  <w:style w:type="character" w:customStyle="1" w:styleId="32">
    <w:name w:val="Заголовок 7 Знак"/>
    <w:basedOn w:val="18"/>
    <w:link w:val="9"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33">
    <w:name w:val="Заголовок 8 Знак"/>
    <w:basedOn w:val="18"/>
    <w:link w:val="10"/>
    <w:qFormat/>
    <w:uiPriority w:val="0"/>
    <w:rPr>
      <w:rFonts w:ascii="Times New Roman" w:hAnsi="Times New Roman" w:eastAsia="Times New Roman" w:cs="Times New Roman"/>
      <w:i/>
      <w:iCs/>
      <w:sz w:val="24"/>
      <w:szCs w:val="24"/>
      <w:lang w:eastAsia="ru-RU"/>
    </w:rPr>
  </w:style>
  <w:style w:type="character" w:customStyle="1" w:styleId="34">
    <w:name w:val="Заголовок 9 Знак"/>
    <w:basedOn w:val="18"/>
    <w:link w:val="11"/>
    <w:uiPriority w:val="0"/>
    <w:rPr>
      <w:rFonts w:ascii="Arial" w:hAnsi="Arial" w:eastAsia="Times New Roman" w:cs="Arial"/>
      <w:lang w:eastAsia="ru-RU"/>
    </w:rPr>
  </w:style>
  <w:style w:type="character" w:customStyle="1" w:styleId="35">
    <w:name w:val="server_description1"/>
    <w:uiPriority w:val="0"/>
  </w:style>
  <w:style w:type="paragraph" w:customStyle="1" w:styleId="36">
    <w:name w:val="Стиль1"/>
    <w:basedOn w:val="3"/>
    <w:link w:val="37"/>
    <w:qFormat/>
    <w:uiPriority w:val="0"/>
    <w:rPr>
      <w:rFonts w:ascii="ISOCPEUR" w:hAnsi="ISOCPEUR" w:cs="Arial"/>
      <w:i/>
      <w:szCs w:val="24"/>
    </w:rPr>
  </w:style>
  <w:style w:type="character" w:customStyle="1" w:styleId="37">
    <w:name w:val="Стиль1 Знак"/>
    <w:link w:val="36"/>
    <w:uiPriority w:val="0"/>
    <w:rPr>
      <w:rFonts w:ascii="ISOCPEUR" w:hAnsi="ISOCPEUR" w:eastAsia="Times New Roman" w:cs="Arial"/>
      <w:i/>
      <w:sz w:val="24"/>
      <w:szCs w:val="24"/>
      <w:lang w:eastAsia="ru-RU"/>
    </w:rPr>
  </w:style>
  <w:style w:type="character" w:customStyle="1" w:styleId="38">
    <w:name w:val="server_name"/>
    <w:uiPriority w:val="0"/>
  </w:style>
  <w:style w:type="character" w:customStyle="1" w:styleId="39">
    <w:name w:val="Текст примечания Знак"/>
    <w:basedOn w:val="18"/>
    <w:link w:val="13"/>
    <w:semiHidden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40">
    <w:name w:val="Тема примечания Знак"/>
    <w:basedOn w:val="39"/>
    <w:link w:val="14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customStyle="1" w:styleId="41">
    <w:name w:val="Текст выноски Знак"/>
    <w:basedOn w:val="18"/>
    <w:link w:val="12"/>
    <w:semiHidden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customStyle="1" w:styleId="42">
    <w:name w:val="Table Paragraph"/>
    <w:basedOn w:val="1"/>
    <w:qFormat/>
    <w:uiPriority w:val="1"/>
    <w:pPr>
      <w:keepNext/>
      <w:widowControl w:val="0"/>
      <w:spacing w:before="120" w:after="120"/>
      <w:ind w:left="-19" w:firstLine="94"/>
      <w:jc w:val="center"/>
    </w:pPr>
    <w:rPr>
      <w:rFonts w:ascii="Arial" w:hAnsi="Arial" w:eastAsia="Arial" w:cs="Arial"/>
      <w:b/>
      <w:bCs/>
      <w:color w:val="000000"/>
      <w:sz w:val="20"/>
      <w:lang w:val="en-US" w:eastAsia="en-US"/>
    </w:rPr>
  </w:style>
  <w:style w:type="table" w:customStyle="1" w:styleId="43">
    <w:name w:val="Table Normal1"/>
    <w:unhideWhenUsed/>
    <w:qFormat/>
    <w:uiPriority w:val="2"/>
    <w:pPr>
      <w:spacing w:after="0" w:line="240" w:lineRule="auto"/>
    </w:pPr>
    <w:rPr>
      <w:sz w:val="20"/>
      <w:szCs w:val="20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4">
    <w:name w:val="Основной (без отступа)"/>
    <w:basedOn w:val="16"/>
    <w:next w:val="16"/>
    <w:qFormat/>
    <w:uiPriority w:val="1"/>
    <w:pPr>
      <w:widowControl w:val="0"/>
      <w:spacing w:before="120"/>
    </w:pPr>
    <w:rPr>
      <w:rFonts w:ascii="Arial" w:hAnsi="Arial" w:eastAsia="Arial" w:cs="SimSun"/>
      <w:color w:val="000000"/>
      <w:sz w:val="20"/>
    </w:rPr>
  </w:style>
  <w:style w:type="paragraph" w:customStyle="1" w:styleId="45">
    <w:name w:val="Основной центр б/о"/>
    <w:basedOn w:val="44"/>
    <w:qFormat/>
    <w:uiPriority w:val="1"/>
    <w:pPr>
      <w:jc w:val="center"/>
    </w:pPr>
  </w:style>
  <w:style w:type="character" w:customStyle="1" w:styleId="46">
    <w:name w:val="Основной текст Знак"/>
    <w:basedOn w:val="18"/>
    <w:link w:val="16"/>
    <w:semiHidden/>
    <w:uiPriority w:val="99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47">
    <w:name w:val="List Paragraph"/>
    <w:basedOn w:val="1"/>
    <w:qFormat/>
    <w:uiPriority w:val="34"/>
    <w:pPr>
      <w:spacing w:after="160" w:line="259" w:lineRule="auto"/>
      <w:ind w:left="720"/>
      <w:contextualSpacing/>
      <w:jc w:val="left"/>
    </w:pPr>
    <w:rPr>
      <w:rFonts w:asciiTheme="minorHAnsi" w:hAnsiTheme="minorHAnsi" w:eastAsiaTheme="minorHAnsi" w:cstheme="minorBid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9315FD6-580F-4FE6-8915-89236D283C8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2557</Words>
  <Characters>14578</Characters>
  <Lines>121</Lines>
  <Paragraphs>34</Paragraphs>
  <TotalTime>1</TotalTime>
  <ScaleCrop>false</ScaleCrop>
  <LinksUpToDate>false</LinksUpToDate>
  <CharactersWithSpaces>17101</CharactersWithSpaces>
  <Application>WPS Office_11.2.0.9363_F1E327BC-269C-435d-A152-05C5408002CA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2019-10-17T10:28:00Z</dcterms:created>
  <dc:creator>VIDEOMAX</dc:creator>
  <cp:lastModifiedBy>Malcev</cp:lastModifiedBy>
  <cp:lastPrinted>2019-06-16T09:01:00Z</cp:lastPrinted>
  <dcterms:modified xsi:type="dcterms:W3CDTF">2020-05-27T06:14:29Z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1049-11.2.0.9363</vt:lpwstr>
  </property>
</Properties>
</file>